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77F65">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5" o:spt="202" type="#_x0000_t202" style="position:absolute;left:0pt;margin-left:45.7pt;margin-top:-3.3pt;height:46.8pt;width:294.8pt;z-index:251659264;mso-width-relative:page;mso-height-relative:page;" fillcolor="#FFFFFF" filled="t" stroked="t" coordsize="21600,21600">
            <v:path/>
            <v:fill on="t" focussize="0,0"/>
            <v:stroke joinstyle="miter"/>
            <v:imagedata o:title=""/>
            <o:lock v:ext="edit" aspectratio="f"/>
            <v:textbox>
              <w:txbxContent>
                <w:p w14:paraId="5CD3E70A">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0541A2A8">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b/>
          <w:kern w:val="0"/>
          <w:sz w:val="28"/>
          <w:szCs w:val="28"/>
        </w:rPr>
        <w:drawing>
          <wp:inline distT="0" distB="0" distL="0" distR="0">
            <wp:extent cx="552450" cy="476250"/>
            <wp:effectExtent l="57150" t="19050" r="190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tretch>
                      <a:fillRect/>
                    </a:stretch>
                  </pic:blipFill>
                  <pic:spPr>
                    <a:xfrm>
                      <a:off x="0" y="0"/>
                      <a:ext cx="552450" cy="476250"/>
                    </a:xfrm>
                    <a:prstGeom prst="rect">
                      <a:avLst/>
                    </a:prstGeom>
                    <a:solidFill>
                      <a:schemeClr val="bg1"/>
                    </a:solidFill>
                    <a:ln w="9525">
                      <a:noFill/>
                      <a:miter lim="800000"/>
                      <a:headEnd/>
                      <a:tailEnd/>
                    </a:ln>
                    <a:scene3d>
                      <a:camera prst="orthographicFront"/>
                      <a:lightRig rig="threePt" dir="t"/>
                    </a:scene3d>
                    <a:sp3d extrusionH="76200" contourW="12700">
                      <a:extrusionClr>
                        <a:schemeClr val="bg1"/>
                      </a:extrusionClr>
                      <a:contourClr>
                        <a:schemeClr val="bg1"/>
                      </a:contourClr>
                    </a:sp3d>
                  </pic:spPr>
                </pic:pic>
              </a:graphicData>
            </a:graphic>
          </wp:inline>
        </w:drawing>
      </w:r>
    </w:p>
    <w:p w14:paraId="4B2B1E41">
      <w:pPr>
        <w:ind w:left="682" w:leftChars="-203" w:hanging="1108" w:hangingChars="154"/>
        <w:rPr>
          <w:sz w:val="72"/>
          <w:szCs w:val="72"/>
        </w:rPr>
      </w:pPr>
    </w:p>
    <w:p w14:paraId="717E69D4">
      <w:pPr>
        <w:adjustRightInd w:val="0"/>
        <w:snapToGrid w:val="0"/>
        <w:spacing w:line="300" w:lineRule="auto"/>
        <w:jc w:val="left"/>
        <w:rPr>
          <w:b/>
          <w:bCs/>
          <w:snapToGrid w:val="0"/>
          <w:kern w:val="0"/>
          <w:sz w:val="28"/>
          <w:szCs w:val="28"/>
        </w:rPr>
      </w:pPr>
    </w:p>
    <w:p w14:paraId="6CC6B412">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0B737295">
      <w:pPr>
        <w:adjustRightInd w:val="0"/>
        <w:snapToGrid w:val="0"/>
        <w:spacing w:line="300" w:lineRule="auto"/>
        <w:jc w:val="left"/>
        <w:rPr>
          <w:b/>
          <w:bCs/>
          <w:snapToGrid w:val="0"/>
          <w:kern w:val="0"/>
          <w:sz w:val="28"/>
          <w:szCs w:val="28"/>
        </w:rPr>
      </w:pPr>
    </w:p>
    <w:p w14:paraId="0E421B45">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农轩100大院食堂食材配送</w:t>
      </w:r>
    </w:p>
    <w:p w14:paraId="04247A49">
      <w:pPr>
        <w:adjustRightInd w:val="0"/>
        <w:snapToGrid w:val="0"/>
        <w:spacing w:line="300" w:lineRule="auto"/>
        <w:jc w:val="center"/>
        <w:rPr>
          <w:rFonts w:asciiTheme="minorEastAsia" w:hAnsiTheme="minorEastAsia" w:eastAsiaTheme="minorEastAsia"/>
          <w:b/>
          <w:snapToGrid w:val="0"/>
          <w:kern w:val="0"/>
          <w:sz w:val="44"/>
          <w:szCs w:val="44"/>
        </w:rPr>
      </w:pPr>
    </w:p>
    <w:p w14:paraId="623FD9EA">
      <w:pPr>
        <w:adjustRightInd w:val="0"/>
        <w:snapToGrid w:val="0"/>
        <w:spacing w:line="300" w:lineRule="auto"/>
        <w:jc w:val="center"/>
        <w:rPr>
          <w:rFonts w:asciiTheme="minorEastAsia" w:hAnsiTheme="minorEastAsia" w:eastAsiaTheme="minorEastAsia"/>
          <w:b/>
          <w:snapToGrid w:val="0"/>
          <w:kern w:val="0"/>
          <w:sz w:val="44"/>
          <w:szCs w:val="44"/>
        </w:rPr>
      </w:pPr>
    </w:p>
    <w:p w14:paraId="20219FD0">
      <w:pPr>
        <w:adjustRightInd w:val="0"/>
        <w:snapToGrid w:val="0"/>
        <w:spacing w:line="300" w:lineRule="auto"/>
        <w:jc w:val="center"/>
        <w:rPr>
          <w:rFonts w:asciiTheme="minorEastAsia" w:hAnsiTheme="minorEastAsia" w:eastAsiaTheme="minorEastAsia"/>
          <w:b/>
          <w:snapToGrid w:val="0"/>
          <w:kern w:val="0"/>
          <w:sz w:val="44"/>
          <w:szCs w:val="44"/>
        </w:rPr>
      </w:pPr>
    </w:p>
    <w:p w14:paraId="5D82D855">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78E0A98">
      <w:pPr>
        <w:adjustRightInd w:val="0"/>
        <w:snapToGrid w:val="0"/>
        <w:spacing w:line="300" w:lineRule="auto"/>
        <w:jc w:val="center"/>
        <w:rPr>
          <w:rFonts w:asciiTheme="minorEastAsia" w:hAnsiTheme="minorEastAsia" w:eastAsiaTheme="minorEastAsia"/>
          <w:b/>
          <w:snapToGrid w:val="0"/>
          <w:kern w:val="0"/>
          <w:sz w:val="32"/>
        </w:rPr>
      </w:pPr>
    </w:p>
    <w:p w14:paraId="37B727D2">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SZDL2024002341</w:t>
      </w:r>
    </w:p>
    <w:p w14:paraId="0F578A6C">
      <w:pPr>
        <w:adjustRightInd w:val="0"/>
        <w:snapToGrid w:val="0"/>
        <w:spacing w:line="300" w:lineRule="auto"/>
        <w:jc w:val="center"/>
        <w:rPr>
          <w:rFonts w:asciiTheme="minorEastAsia" w:hAnsiTheme="minorEastAsia" w:eastAsiaTheme="minorEastAsia"/>
          <w:b/>
          <w:snapToGrid w:val="0"/>
          <w:kern w:val="0"/>
          <w:sz w:val="18"/>
          <w:szCs w:val="18"/>
        </w:rPr>
      </w:pPr>
    </w:p>
    <w:p w14:paraId="0911A632">
      <w:pPr>
        <w:adjustRightInd w:val="0"/>
        <w:snapToGrid w:val="0"/>
        <w:spacing w:line="300" w:lineRule="auto"/>
        <w:jc w:val="center"/>
        <w:rPr>
          <w:rFonts w:asciiTheme="minorEastAsia" w:hAnsiTheme="minorEastAsia" w:eastAsiaTheme="minorEastAsia"/>
          <w:b/>
          <w:snapToGrid w:val="0"/>
          <w:kern w:val="0"/>
          <w:sz w:val="44"/>
        </w:rPr>
      </w:pPr>
    </w:p>
    <w:p w14:paraId="5589FA9E">
      <w:pPr>
        <w:adjustRightInd w:val="0"/>
        <w:snapToGrid w:val="0"/>
        <w:spacing w:line="300" w:lineRule="auto"/>
        <w:jc w:val="center"/>
        <w:rPr>
          <w:rFonts w:asciiTheme="minorEastAsia" w:hAnsiTheme="minorEastAsia" w:eastAsiaTheme="minorEastAsia"/>
          <w:b/>
          <w:snapToGrid w:val="0"/>
          <w:kern w:val="0"/>
          <w:sz w:val="44"/>
        </w:rPr>
      </w:pPr>
      <w:r>
        <w:rPr>
          <w:rFonts w:asciiTheme="minorEastAsia" w:hAnsiTheme="minorEastAsia" w:eastAsiaTheme="minorEastAsia"/>
          <w:b/>
          <w:snapToGrid w:val="0"/>
          <w:kern w:val="0"/>
          <w:sz w:val="44"/>
        </w:rPr>
        <w:t xml:space="preserve"> </w:t>
      </w:r>
    </w:p>
    <w:p w14:paraId="0B572E80">
      <w:pPr>
        <w:pStyle w:val="25"/>
        <w:adjustRightInd w:val="0"/>
        <w:snapToGrid w:val="0"/>
        <w:spacing w:line="300" w:lineRule="auto"/>
        <w:jc w:val="center"/>
        <w:rPr>
          <w:rFonts w:asciiTheme="minorEastAsia" w:hAnsiTheme="minorEastAsia" w:eastAsiaTheme="minorEastAsia"/>
          <w:b/>
          <w:snapToGrid w:val="0"/>
          <w:sz w:val="30"/>
        </w:rPr>
      </w:pPr>
    </w:p>
    <w:p w14:paraId="75EBD4B4">
      <w:pPr>
        <w:rPr>
          <w:rFonts w:asciiTheme="minorEastAsia" w:hAnsiTheme="minorEastAsia" w:eastAsiaTheme="minorEastAsia"/>
        </w:rPr>
      </w:pPr>
    </w:p>
    <w:p w14:paraId="3538F4C1">
      <w:pPr>
        <w:rPr>
          <w:rFonts w:asciiTheme="minorEastAsia" w:hAnsiTheme="minorEastAsia" w:eastAsiaTheme="minorEastAsia"/>
        </w:rPr>
      </w:pPr>
    </w:p>
    <w:p w14:paraId="22A6BA0A">
      <w:pPr>
        <w:rPr>
          <w:rFonts w:asciiTheme="minorEastAsia" w:hAnsiTheme="minorEastAsia" w:eastAsiaTheme="minorEastAsia"/>
        </w:rPr>
      </w:pPr>
    </w:p>
    <w:p w14:paraId="6C204936">
      <w:pPr>
        <w:rPr>
          <w:rFonts w:asciiTheme="minorEastAsia" w:hAnsiTheme="minorEastAsia" w:eastAsiaTheme="minorEastAsia"/>
        </w:rPr>
      </w:pPr>
    </w:p>
    <w:p w14:paraId="6DACC176">
      <w:pPr>
        <w:pStyle w:val="25"/>
        <w:adjustRightInd w:val="0"/>
        <w:snapToGrid w:val="0"/>
        <w:spacing w:line="300" w:lineRule="auto"/>
        <w:jc w:val="center"/>
        <w:rPr>
          <w:rFonts w:asciiTheme="minorEastAsia" w:hAnsiTheme="minorEastAsia" w:eastAsiaTheme="minorEastAsia"/>
        </w:rPr>
      </w:pPr>
      <w:r>
        <w:rPr>
          <w:rFonts w:hint="eastAsia" w:asciiTheme="minorEastAsia" w:hAnsiTheme="minorEastAsia" w:eastAsiaTheme="minorEastAsia"/>
          <w:b/>
          <w:snapToGrid w:val="0"/>
          <w:sz w:val="30"/>
        </w:rPr>
        <w:t>二〇二</w:t>
      </w:r>
      <w:r>
        <w:rPr>
          <w:rFonts w:hint="eastAsia" w:asciiTheme="minorEastAsia" w:hAnsiTheme="minorEastAsia" w:eastAsiaTheme="minorEastAsia"/>
          <w:b/>
          <w:snapToGrid w:val="0"/>
          <w:sz w:val="30"/>
          <w:lang w:val="en-US" w:eastAsia="zh-CN"/>
        </w:rPr>
        <w:t>五</w:t>
      </w:r>
      <w:r>
        <w:rPr>
          <w:rFonts w:hint="eastAsia" w:asciiTheme="minorEastAsia" w:hAnsiTheme="minorEastAsia" w:eastAsiaTheme="minorEastAsia"/>
          <w:b/>
          <w:snapToGrid w:val="0"/>
          <w:sz w:val="30"/>
        </w:rPr>
        <w:t>年</w:t>
      </w:r>
      <w:r>
        <w:rPr>
          <w:rFonts w:hint="eastAsia" w:asciiTheme="minorEastAsia" w:hAnsiTheme="minorEastAsia" w:eastAsiaTheme="minorEastAsia"/>
          <w:b/>
          <w:snapToGrid w:val="0"/>
          <w:sz w:val="30"/>
          <w:lang w:val="en-US" w:eastAsia="zh-CN"/>
        </w:rPr>
        <w:t>一</w:t>
      </w:r>
      <w:r>
        <w:rPr>
          <w:rFonts w:hint="eastAsia" w:asciiTheme="minorEastAsia" w:hAnsiTheme="minorEastAsia" w:eastAsiaTheme="minorEastAsia"/>
          <w:b/>
          <w:snapToGrid w:val="0"/>
          <w:sz w:val="30"/>
        </w:rPr>
        <w:t>月</w:t>
      </w:r>
    </w:p>
    <w:p w14:paraId="4E7065DD">
      <w:pPr>
        <w:pStyle w:val="38"/>
        <w:spacing w:before="454" w:beforeAutospacing="0" w:after="454" w:afterAutospacing="0"/>
        <w:ind w:left="454" w:right="454"/>
        <w:jc w:val="center"/>
        <w:outlineLvl w:val="0"/>
        <w:rPr>
          <w:sz w:val="40"/>
          <w:szCs w:val="40"/>
        </w:rPr>
      </w:pPr>
    </w:p>
    <w:p w14:paraId="70B41A27">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485D7ED3">
      <w:pPr>
        <w:spacing w:line="360" w:lineRule="auto"/>
        <w:ind w:firstLine="480" w:firstLineChars="200"/>
        <w:rPr>
          <w:rFonts w:ascii="仿宋" w:hAnsi="仿宋" w:eastAsia="仿宋"/>
          <w:sz w:val="24"/>
        </w:rPr>
      </w:pPr>
    </w:p>
    <w:p w14:paraId="57E74044">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一、《深圳经济特区政府采购条例》</w:t>
      </w:r>
    </w:p>
    <w:p w14:paraId="7A3AAAAF">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第五十七条</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F80C083">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（一）在采购活动中应当回避而未回避的；</w:t>
      </w:r>
    </w:p>
    <w:p w14:paraId="5A24B0C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（二）未按本条例规定签订、履行采购合同，造成严重后果的；</w:t>
      </w:r>
    </w:p>
    <w:p w14:paraId="1D48D40F">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（三）隐瞒真实情况，提供虚假资料的；</w:t>
      </w:r>
    </w:p>
    <w:p w14:paraId="268B5F65">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（四）以非法手段排斥其他供应商参与竞争的；</w:t>
      </w:r>
    </w:p>
    <w:p w14:paraId="43C105B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（五）与其他采购参加人串通投标的；</w:t>
      </w:r>
    </w:p>
    <w:p w14:paraId="0F7ADC5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（六）恶意投诉的；</w:t>
      </w:r>
    </w:p>
    <w:p w14:paraId="5D422ED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（七）向采购项目相关人行贿或者提供其他不当利益的；</w:t>
      </w:r>
    </w:p>
    <w:p w14:paraId="5A8CCE67">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（八）阻碍、抗拒主管部门监督检查的；</w:t>
      </w:r>
    </w:p>
    <w:p w14:paraId="1F5818D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（九）其他违反本条例规定的行为。</w:t>
      </w:r>
    </w:p>
    <w:p w14:paraId="4E2FD6A0">
      <w:pPr>
        <w:widowControl/>
        <w:spacing w:after="120"/>
        <w:jc w:val="left"/>
        <w:rPr>
          <w:rFonts w:ascii="Times New Roman" w:hAnsi="Times New Roman" w:eastAsiaTheme="minorEastAsia"/>
          <w:kern w:val="0"/>
          <w:sz w:val="24"/>
          <w:szCs w:val="24"/>
        </w:rPr>
      </w:pPr>
    </w:p>
    <w:p w14:paraId="5DCF820C">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二、《深圳经济特区政府采购条例实施细则》</w:t>
      </w:r>
    </w:p>
    <w:p w14:paraId="631DB0F9">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第七十五条 供应商有下列情形的，属于采购条例所称的串通投标行为，按照采购条例第五十七条有关规定处理：</w:t>
      </w:r>
    </w:p>
    <w:p w14:paraId="4AEB6A8C">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（一）投标供应商之间相互约定给予未中标的供应商利益补偿；</w:t>
      </w:r>
    </w:p>
    <w:p w14:paraId="73934659">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 xml:space="preserve">（二）不同投标供应商的法定代表人、主要经营负责人、项目投标授权代表人、项目负责人、主要技术人员为同一人、属同一单位或者在同一单位缴纳社会保险；          </w:t>
      </w:r>
    </w:p>
    <w:p w14:paraId="4F7C8CC0">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（三）不同投标供应商的投标文件由同一单位或者同一人编制，或者由同一人分阶段参与编制的；</w:t>
      </w:r>
    </w:p>
    <w:p w14:paraId="6D2ADB51">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（四）不同投标供应商的投标文件或部分投标文件相互混装；</w:t>
      </w:r>
    </w:p>
    <w:p w14:paraId="09CB5BFD">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（五）不同投标供应商的投标文件内容存在非正常一致；</w:t>
      </w:r>
    </w:p>
    <w:p w14:paraId="7C80E6BC">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（六）由同一单位工作人员为两家以上（含两家）供应商进行同一项投标活动的；</w:t>
      </w:r>
    </w:p>
    <w:p w14:paraId="44E99CA0">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（七）主管部门依照法律、法规认定的其他情形。</w:t>
      </w:r>
    </w:p>
    <w:p w14:paraId="640BD71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第七十七条 供应商有下列情形之一的，属于隐瞒真实情况，提供虚假资料，按照采购条例第五十七的有关规定处理：</w:t>
      </w:r>
    </w:p>
    <w:p w14:paraId="10A6F9B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3F9F5D07">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42B9512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55E37D7E">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551646C9">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6456EC80">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投标供应商不能提供项目负责人或者主要技术人员的劳动合同、社会保险等劳动关系证明材料的，视为存在前款第（三）项规定的情形。</w:t>
      </w:r>
    </w:p>
    <w:p w14:paraId="1E9380E5">
      <w:pPr>
        <w:widowControl/>
        <w:spacing w:after="120"/>
        <w:jc w:val="left"/>
        <w:rPr>
          <w:rFonts w:ascii="Times New Roman" w:hAnsi="Times New Roman" w:eastAsiaTheme="minorEastAsia"/>
          <w:kern w:val="0"/>
          <w:sz w:val="24"/>
          <w:szCs w:val="24"/>
        </w:rPr>
      </w:pPr>
    </w:p>
    <w:p w14:paraId="179331C3">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三、《中华人民共和国政府采购法实施条例》</w:t>
      </w:r>
    </w:p>
    <w:p w14:paraId="28C82BA3">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第十八条 单位负责人为同一人或者存在直接控股、管理关系的不同供应商，不得参加同一合同项下的政府采购活动。</w:t>
      </w:r>
    </w:p>
    <w:p w14:paraId="1DBD4443">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除单一来源采购项目外，为采购项目提供整体设计、规范编制或者项目管理、监理、检测等服务的供应商，不得再参加该采购项目的其他采购活动。</w:t>
      </w:r>
    </w:p>
    <w:p w14:paraId="621F32D7">
      <w:pPr>
        <w:spacing w:line="440" w:lineRule="exact"/>
        <w:ind w:firstLine="371" w:firstLineChars="177"/>
        <w:rPr>
          <w:rFonts w:asciiTheme="minorEastAsia" w:hAnsiTheme="minorEastAsia" w:eastAsiaTheme="minorEastAsia"/>
          <w:bCs/>
          <w:szCs w:val="21"/>
        </w:rPr>
      </w:pPr>
      <w:r>
        <w:rPr>
          <w:rFonts w:hint="eastAsia" w:asciiTheme="minorEastAsia" w:hAnsiTheme="minorEastAsia" w:eastAsiaTheme="minorEastAsia"/>
          <w:bCs/>
          <w:szCs w:val="21"/>
        </w:rPr>
        <w:t>本项目设计供应商：无</w:t>
      </w:r>
    </w:p>
    <w:p w14:paraId="21E324A5">
      <w:pPr>
        <w:spacing w:line="440" w:lineRule="exact"/>
        <w:ind w:firstLine="371" w:firstLineChars="177"/>
        <w:rPr>
          <w:rFonts w:asciiTheme="minorEastAsia" w:hAnsiTheme="minorEastAsia" w:eastAsiaTheme="minorEastAsia"/>
          <w:bCs/>
          <w:szCs w:val="21"/>
        </w:rPr>
      </w:pPr>
      <w:r>
        <w:rPr>
          <w:rFonts w:hint="eastAsia" w:asciiTheme="minorEastAsia" w:hAnsiTheme="minorEastAsia" w:eastAsiaTheme="minorEastAsia"/>
          <w:bCs/>
          <w:szCs w:val="21"/>
        </w:rPr>
        <w:t>本项目造价咨询供应商：无</w:t>
      </w:r>
    </w:p>
    <w:p w14:paraId="08DEFD8F">
      <w:pPr>
        <w:spacing w:line="440" w:lineRule="exact"/>
        <w:ind w:firstLine="371" w:firstLineChars="177"/>
        <w:rPr>
          <w:rFonts w:asciiTheme="minorEastAsia" w:hAnsiTheme="minorEastAsia" w:eastAsiaTheme="minorEastAsia"/>
          <w:bCs/>
          <w:szCs w:val="21"/>
        </w:rPr>
      </w:pPr>
      <w:r>
        <w:rPr>
          <w:rFonts w:hint="eastAsia" w:asciiTheme="minorEastAsia" w:hAnsiTheme="minorEastAsia" w:eastAsiaTheme="minorEastAsia"/>
          <w:bCs/>
          <w:szCs w:val="21"/>
        </w:rPr>
        <w:t>本项目监理供应商：无</w:t>
      </w:r>
    </w:p>
    <w:p w14:paraId="6924E742">
      <w:pPr>
        <w:spacing w:line="440" w:lineRule="exact"/>
        <w:ind w:firstLine="371" w:firstLineChars="177"/>
        <w:rPr>
          <w:rFonts w:asciiTheme="minorEastAsia" w:hAnsiTheme="minorEastAsia" w:eastAsiaTheme="minorEastAsia"/>
          <w:b/>
          <w:color w:val="FF0000"/>
          <w:szCs w:val="21"/>
        </w:rPr>
      </w:pPr>
      <w:r>
        <w:rPr>
          <w:rFonts w:hint="eastAsia" w:asciiTheme="minorEastAsia" w:hAnsiTheme="minorEastAsia" w:eastAsiaTheme="minorEastAsia"/>
          <w:bCs/>
          <w:szCs w:val="21"/>
        </w:rPr>
        <w:t>本项目检测供应商：无</w:t>
      </w:r>
    </w:p>
    <w:p w14:paraId="7BBD0E75">
      <w:pPr>
        <w:spacing w:line="440" w:lineRule="exact"/>
        <w:ind w:firstLine="373" w:firstLineChars="177"/>
        <w:rPr>
          <w:rFonts w:asciiTheme="minorEastAsia" w:hAnsiTheme="minorEastAsia" w:eastAsiaTheme="minorEastAsia"/>
          <w:b/>
          <w:color w:val="FF0000"/>
          <w:szCs w:val="21"/>
        </w:rPr>
      </w:pPr>
    </w:p>
    <w:p w14:paraId="0C1D689F">
      <w:pPr>
        <w:spacing w:line="440" w:lineRule="exact"/>
        <w:ind w:firstLine="373" w:firstLineChars="177"/>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投标供应商涉嫌存在串通投标等违法行为的，将书面报告财政主管部门依法处理。</w:t>
      </w:r>
    </w:p>
    <w:p w14:paraId="2A02B9D0">
      <w:pPr>
        <w:spacing w:line="360" w:lineRule="auto"/>
        <w:ind w:firstLine="480" w:firstLineChars="200"/>
        <w:rPr>
          <w:sz w:val="40"/>
          <w:szCs w:val="40"/>
        </w:rPr>
      </w:pPr>
      <w:r>
        <w:rPr>
          <w:rFonts w:hint="eastAsia" w:ascii="仿宋" w:hAnsi="仿宋" w:eastAsia="仿宋"/>
          <w:sz w:val="24"/>
        </w:rPr>
        <w:cr/>
      </w:r>
    </w:p>
    <w:p w14:paraId="13BC2190">
      <w:pPr>
        <w:widowControl/>
        <w:jc w:val="left"/>
        <w:rPr>
          <w:rFonts w:ascii="宋体" w:hAnsi="宋体" w:cs="宋体"/>
          <w:kern w:val="0"/>
          <w:sz w:val="40"/>
          <w:szCs w:val="40"/>
        </w:rPr>
      </w:pPr>
      <w:r>
        <w:rPr>
          <w:sz w:val="40"/>
          <w:szCs w:val="40"/>
        </w:rPr>
        <w:br w:type="page"/>
      </w:r>
    </w:p>
    <w:p w14:paraId="0D137CCD">
      <w:pPr>
        <w:pStyle w:val="38"/>
        <w:spacing w:before="454" w:beforeAutospacing="0" w:after="454" w:afterAutospacing="0"/>
        <w:ind w:left="454" w:right="454"/>
        <w:jc w:val="center"/>
        <w:outlineLvl w:val="0"/>
        <w:rPr>
          <w:sz w:val="40"/>
          <w:szCs w:val="40"/>
        </w:rPr>
      </w:pPr>
      <w:r>
        <w:rPr>
          <w:rFonts w:hint="eastAsia"/>
          <w:sz w:val="40"/>
          <w:szCs w:val="40"/>
        </w:rPr>
        <w:t>农轩100大院食堂食材配送</w:t>
      </w:r>
    </w:p>
    <w:p w14:paraId="5755DEA2">
      <w:pPr>
        <w:pStyle w:val="38"/>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4"/>
        <w:tblW w:w="7938" w:type="dxa"/>
        <w:jc w:val="center"/>
        <w:tblCellSpacing w:w="0" w:type="dxa"/>
        <w:tblLayout w:type="autofit"/>
        <w:tblCellMar>
          <w:top w:w="45" w:type="dxa"/>
          <w:left w:w="45" w:type="dxa"/>
          <w:bottom w:w="45" w:type="dxa"/>
          <w:right w:w="45" w:type="dxa"/>
        </w:tblCellMar>
      </w:tblPr>
      <w:tblGrid>
        <w:gridCol w:w="2722"/>
        <w:gridCol w:w="5216"/>
      </w:tblGrid>
      <w:tr w14:paraId="5D62B650">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6B4D0438">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0" w:type="auto"/>
            <w:vAlign w:val="center"/>
          </w:tcPr>
          <w:p w14:paraId="7BB30DD4">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SZDL2024002341</w:t>
            </w:r>
          </w:p>
        </w:tc>
      </w:tr>
      <w:tr w14:paraId="06050327">
        <w:tblPrEx>
          <w:tblCellMar>
            <w:top w:w="45" w:type="dxa"/>
            <w:left w:w="45" w:type="dxa"/>
            <w:bottom w:w="45" w:type="dxa"/>
            <w:right w:w="45" w:type="dxa"/>
          </w:tblCellMar>
        </w:tblPrEx>
        <w:trPr>
          <w:trHeight w:val="737" w:hRule="atLeast"/>
          <w:tblCellSpacing w:w="0" w:type="dxa"/>
          <w:jc w:val="center"/>
        </w:trPr>
        <w:tc>
          <w:tcPr>
            <w:tcW w:w="0" w:type="auto"/>
            <w:vAlign w:val="center"/>
          </w:tcPr>
          <w:p w14:paraId="45B43837">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0" w:type="auto"/>
            <w:vAlign w:val="center"/>
          </w:tcPr>
          <w:p w14:paraId="5B13B9B8">
            <w:pPr>
              <w:rPr>
                <w:rFonts w:cs="宋体" w:asciiTheme="minorEastAsia" w:hAnsiTheme="minorEastAsia" w:eastAsiaTheme="minorEastAsia"/>
                <w:sz w:val="30"/>
                <w:szCs w:val="30"/>
              </w:rPr>
            </w:pPr>
            <w:r>
              <w:rPr>
                <w:rFonts w:hint="eastAsia" w:asciiTheme="minorEastAsia" w:hAnsiTheme="minorEastAsia" w:eastAsiaTheme="minorEastAsia"/>
                <w:sz w:val="30"/>
                <w:szCs w:val="30"/>
              </w:rPr>
              <w:t>农轩100大院食堂食材配送</w:t>
            </w:r>
          </w:p>
        </w:tc>
      </w:tr>
      <w:tr w14:paraId="0638FD17">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ABD64A6">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包 号：</w:t>
            </w:r>
          </w:p>
        </w:tc>
        <w:tc>
          <w:tcPr>
            <w:tcW w:w="0" w:type="auto"/>
            <w:vAlign w:val="center"/>
          </w:tcPr>
          <w:p w14:paraId="75A60EE2">
            <w:pPr>
              <w:rPr>
                <w:rFonts w:cs="宋体" w:asciiTheme="minorEastAsia" w:hAnsiTheme="minorEastAsia" w:eastAsiaTheme="minorEastAsia"/>
                <w:sz w:val="30"/>
                <w:szCs w:val="30"/>
              </w:rPr>
            </w:pPr>
            <w:r>
              <w:rPr>
                <w:rFonts w:asciiTheme="minorEastAsia" w:hAnsiTheme="minorEastAsia" w:eastAsiaTheme="minorEastAsia"/>
                <w:sz w:val="30"/>
                <w:szCs w:val="30"/>
              </w:rPr>
              <w:t>A</w:t>
            </w:r>
          </w:p>
        </w:tc>
      </w:tr>
      <w:tr w14:paraId="7A997D75">
        <w:tblPrEx>
          <w:tblCellMar>
            <w:top w:w="45" w:type="dxa"/>
            <w:left w:w="45" w:type="dxa"/>
            <w:bottom w:w="45" w:type="dxa"/>
            <w:right w:w="45" w:type="dxa"/>
          </w:tblCellMar>
        </w:tblPrEx>
        <w:trPr>
          <w:trHeight w:val="737" w:hRule="atLeast"/>
          <w:tblCellSpacing w:w="0" w:type="dxa"/>
          <w:jc w:val="center"/>
        </w:trPr>
        <w:tc>
          <w:tcPr>
            <w:tcW w:w="0" w:type="auto"/>
            <w:vAlign w:val="center"/>
          </w:tcPr>
          <w:p w14:paraId="52E05C77">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项目类型：</w:t>
            </w:r>
          </w:p>
        </w:tc>
        <w:tc>
          <w:tcPr>
            <w:tcW w:w="0" w:type="auto"/>
            <w:vAlign w:val="center"/>
          </w:tcPr>
          <w:p w14:paraId="6371A63E">
            <w:pPr>
              <w:rPr>
                <w:rFonts w:cs="宋体" w:asciiTheme="minorEastAsia" w:hAnsiTheme="minorEastAsia" w:eastAsiaTheme="minorEastAsia"/>
                <w:sz w:val="30"/>
                <w:szCs w:val="30"/>
              </w:rPr>
            </w:pPr>
            <w:r>
              <w:rPr>
                <w:rFonts w:asciiTheme="minorEastAsia" w:hAnsiTheme="minorEastAsia" w:eastAsiaTheme="minorEastAsia"/>
                <w:sz w:val="30"/>
                <w:szCs w:val="30"/>
              </w:rPr>
              <w:t>服务类</w:t>
            </w:r>
          </w:p>
        </w:tc>
      </w:tr>
      <w:tr w14:paraId="2835521B">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56A3A47">
            <w:pPr>
              <w:jc w:val="right"/>
              <w:rPr>
                <w:rFonts w:asciiTheme="minorEastAsia" w:hAnsiTheme="minorEastAsia" w:eastAsiaTheme="minorEastAsia"/>
                <w:sz w:val="30"/>
                <w:szCs w:val="30"/>
              </w:rPr>
            </w:pPr>
            <w:r>
              <w:rPr>
                <w:rFonts w:hint="eastAsia" w:asciiTheme="minorEastAsia" w:hAnsiTheme="minorEastAsia" w:eastAsiaTheme="minorEastAsia"/>
                <w:sz w:val="30"/>
                <w:szCs w:val="30"/>
              </w:rPr>
              <w:t>服务属性</w:t>
            </w:r>
          </w:p>
        </w:tc>
        <w:tc>
          <w:tcPr>
            <w:tcW w:w="0" w:type="auto"/>
            <w:vAlign w:val="center"/>
          </w:tcPr>
          <w:p w14:paraId="0DE5B197">
            <w:pPr>
              <w:rPr>
                <w:rFonts w:asciiTheme="minorEastAsia" w:hAnsiTheme="minorEastAsia" w:eastAsiaTheme="minorEastAsia"/>
                <w:sz w:val="30"/>
                <w:szCs w:val="30"/>
              </w:rPr>
            </w:pPr>
            <w:r>
              <w:rPr>
                <w:rFonts w:asciiTheme="minorEastAsia" w:hAnsiTheme="minorEastAsia" w:eastAsiaTheme="minorEastAsia"/>
                <w:sz w:val="30"/>
                <w:szCs w:val="30"/>
              </w:rPr>
              <w:t>食材配送服务</w:t>
            </w:r>
            <w:r>
              <w:rPr>
                <w:rFonts w:hint="eastAsia" w:asciiTheme="minorEastAsia" w:hAnsiTheme="minorEastAsia" w:eastAsiaTheme="minorEastAsia"/>
                <w:sz w:val="30"/>
                <w:szCs w:val="30"/>
              </w:rPr>
              <w:t>，编号：B110501</w:t>
            </w:r>
          </w:p>
        </w:tc>
      </w:tr>
      <w:tr w14:paraId="2D888FA5">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74E1E55">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采购方式：</w:t>
            </w:r>
          </w:p>
        </w:tc>
        <w:tc>
          <w:tcPr>
            <w:tcW w:w="0" w:type="auto"/>
            <w:vAlign w:val="center"/>
          </w:tcPr>
          <w:p w14:paraId="6105B300">
            <w:pPr>
              <w:rPr>
                <w:rFonts w:cs="宋体" w:asciiTheme="minorEastAsia" w:hAnsiTheme="minorEastAsia" w:eastAsiaTheme="minorEastAsia"/>
                <w:sz w:val="30"/>
                <w:szCs w:val="30"/>
              </w:rPr>
            </w:pPr>
            <w:r>
              <w:rPr>
                <w:rFonts w:asciiTheme="minorEastAsia" w:hAnsiTheme="minorEastAsia" w:eastAsiaTheme="minorEastAsia"/>
                <w:sz w:val="30"/>
                <w:szCs w:val="30"/>
              </w:rPr>
              <w:t>公开招标</w:t>
            </w:r>
          </w:p>
        </w:tc>
      </w:tr>
      <w:tr w14:paraId="2855EED4">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55D29F2">
            <w:pPr>
              <w:jc w:val="right"/>
              <w:rPr>
                <w:rFonts w:ascii="宋体" w:hAnsi="宋体" w:cs="宋体"/>
                <w:sz w:val="30"/>
                <w:szCs w:val="30"/>
              </w:rPr>
            </w:pPr>
            <w:r>
              <w:rPr>
                <w:sz w:val="30"/>
                <w:szCs w:val="30"/>
              </w:rPr>
              <w:t>货币类型：</w:t>
            </w:r>
          </w:p>
        </w:tc>
        <w:tc>
          <w:tcPr>
            <w:tcW w:w="0" w:type="auto"/>
            <w:vAlign w:val="center"/>
          </w:tcPr>
          <w:p w14:paraId="5A38F9F2">
            <w:pPr>
              <w:rPr>
                <w:rFonts w:ascii="宋体" w:hAnsi="宋体" w:cs="宋体"/>
                <w:sz w:val="30"/>
                <w:szCs w:val="30"/>
              </w:rPr>
            </w:pPr>
            <w:r>
              <w:rPr>
                <w:sz w:val="30"/>
                <w:szCs w:val="30"/>
              </w:rPr>
              <w:t>人民币</w:t>
            </w:r>
          </w:p>
        </w:tc>
      </w:tr>
      <w:tr w14:paraId="2D8C0DE2">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450E316">
            <w:pPr>
              <w:jc w:val="right"/>
              <w:rPr>
                <w:rFonts w:ascii="宋体" w:hAnsi="宋体" w:cs="宋体"/>
                <w:sz w:val="30"/>
                <w:szCs w:val="30"/>
              </w:rPr>
            </w:pPr>
            <w:r>
              <w:rPr>
                <w:sz w:val="30"/>
                <w:szCs w:val="30"/>
              </w:rPr>
              <w:t>评标方法：</w:t>
            </w:r>
          </w:p>
        </w:tc>
        <w:tc>
          <w:tcPr>
            <w:tcW w:w="0" w:type="auto"/>
            <w:vAlign w:val="center"/>
          </w:tcPr>
          <w:p w14:paraId="00BE1786">
            <w:pPr>
              <w:rPr>
                <w:rFonts w:ascii="宋体" w:hAnsi="宋体" w:cs="宋体"/>
                <w:sz w:val="30"/>
                <w:szCs w:val="30"/>
              </w:rPr>
            </w:pPr>
            <w:r>
              <w:rPr>
                <w:sz w:val="30"/>
                <w:szCs w:val="30"/>
              </w:rPr>
              <w:t>综合评分法（新价格分算法）</w:t>
            </w:r>
          </w:p>
        </w:tc>
      </w:tr>
    </w:tbl>
    <w:p w14:paraId="264F1A65">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08002C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F566D6A">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426086EF">
            <w:pPr>
              <w:jc w:val="center"/>
              <w:rPr>
                <w:rFonts w:ascii="宋体" w:hAnsi="宋体" w:cs="宋体"/>
                <w:sz w:val="28"/>
                <w:szCs w:val="28"/>
              </w:rPr>
            </w:pPr>
            <w:r>
              <w:rPr>
                <w:sz w:val="28"/>
                <w:szCs w:val="28"/>
              </w:rPr>
              <w:t>内容</w:t>
            </w:r>
          </w:p>
        </w:tc>
      </w:tr>
      <w:tr w14:paraId="5FA0C6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6FE498F">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12E7C0F1">
            <w:pPr>
              <w:rPr>
                <w:rFonts w:ascii="宋体" w:hAnsi="宋体" w:cs="宋体"/>
                <w:szCs w:val="21"/>
              </w:rPr>
            </w:pPr>
            <w:r>
              <w:rPr>
                <w:szCs w:val="21"/>
              </w:rPr>
              <w:t>投标人具备招标文件所列的资格要求，</w:t>
            </w:r>
            <w:r>
              <w:rPr>
                <w:rFonts w:hint="eastAsia"/>
                <w:szCs w:val="21"/>
              </w:rPr>
              <w:t>且</w:t>
            </w:r>
            <w:r>
              <w:rPr>
                <w:szCs w:val="21"/>
              </w:rPr>
              <w:t>提交相应的资格证明资料（详见招标公告</w:t>
            </w:r>
            <w:r>
              <w:rPr>
                <w:rFonts w:ascii="宋体" w:hAnsi="宋体"/>
              </w:rPr>
              <w:t>申请人的资格要求</w:t>
            </w:r>
            <w:r>
              <w:rPr>
                <w:szCs w:val="21"/>
              </w:rPr>
              <w:t>）</w:t>
            </w:r>
          </w:p>
        </w:tc>
      </w:tr>
    </w:tbl>
    <w:p w14:paraId="746E3A25">
      <w:pPr>
        <w:pStyle w:val="38"/>
        <w:spacing w:before="280" w:beforeAutospacing="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59088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C880F90">
            <w:pPr>
              <w:jc w:val="center"/>
              <w:rPr>
                <w:rFonts w:ascii="宋体" w:hAnsi="宋体" w:cs="宋体"/>
                <w:sz w:val="28"/>
                <w:szCs w:val="28"/>
              </w:rPr>
            </w:pPr>
            <w:r>
              <w:rPr>
                <w:rFonts w:ascii="Times New Roman" w:hAnsi="Times New Roman"/>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389EA30A">
            <w:pPr>
              <w:jc w:val="center"/>
              <w:rPr>
                <w:rFonts w:ascii="宋体" w:hAnsi="宋体" w:cs="宋体"/>
                <w:sz w:val="28"/>
                <w:szCs w:val="28"/>
              </w:rPr>
            </w:pPr>
            <w:r>
              <w:rPr>
                <w:rFonts w:ascii="Times New Roman" w:hAnsi="Times New Roman"/>
                <w:sz w:val="28"/>
                <w:szCs w:val="28"/>
              </w:rPr>
              <w:t>内容</w:t>
            </w:r>
          </w:p>
        </w:tc>
      </w:tr>
      <w:tr w14:paraId="12D1D6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5289C42">
            <w:pPr>
              <w:jc w:val="center"/>
              <w:rPr>
                <w:rFonts w:ascii="宋体" w:hAnsi="宋体" w:cs="宋体"/>
                <w:szCs w:val="21"/>
              </w:rPr>
            </w:pPr>
            <w:r>
              <w:rPr>
                <w:rFonts w:ascii="Times New Roman" w:hAnsi="Times New Roman"/>
                <w:szCs w:val="21"/>
              </w:rPr>
              <w:t>1</w:t>
            </w:r>
          </w:p>
        </w:tc>
        <w:tc>
          <w:tcPr>
            <w:tcW w:w="0" w:type="auto"/>
            <w:tcBorders>
              <w:top w:val="single" w:color="000000" w:sz="8" w:space="0"/>
              <w:left w:val="single" w:color="000000" w:sz="8" w:space="0"/>
              <w:bottom w:val="single" w:color="000000" w:sz="8" w:space="0"/>
              <w:right w:val="single" w:color="000000" w:sz="8" w:space="0"/>
            </w:tcBorders>
          </w:tcPr>
          <w:p w14:paraId="4CA9B721">
            <w:pPr>
              <w:rPr>
                <w:rFonts w:ascii="宋体" w:hAnsi="宋体" w:cs="宋体"/>
                <w:szCs w:val="21"/>
              </w:rPr>
            </w:pPr>
            <w:r>
              <w:rPr>
                <w:rFonts w:hint="eastAsia" w:ascii="Times New Roman" w:hAnsi="Times New Roman"/>
                <w:szCs w:val="21"/>
              </w:rPr>
              <w:t>未</w:t>
            </w:r>
            <w:r>
              <w:rPr>
                <w:rFonts w:ascii="Times New Roman" w:hAnsi="Times New Roman"/>
                <w:szCs w:val="21"/>
              </w:rPr>
              <w:t>将一个包或一个标段的内容拆开投标</w:t>
            </w:r>
          </w:p>
        </w:tc>
      </w:tr>
      <w:tr w14:paraId="0E40D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D933F50">
            <w:pPr>
              <w:jc w:val="center"/>
              <w:rPr>
                <w:rFonts w:ascii="宋体" w:hAnsi="宋体" w:cs="宋体"/>
                <w:szCs w:val="21"/>
              </w:rPr>
            </w:pPr>
            <w:r>
              <w:rPr>
                <w:rFonts w:ascii="Times New Roman" w:hAnsi="Times New Roman"/>
                <w:szCs w:val="21"/>
              </w:rPr>
              <w:t>2</w:t>
            </w:r>
          </w:p>
        </w:tc>
        <w:tc>
          <w:tcPr>
            <w:tcW w:w="0" w:type="auto"/>
            <w:tcBorders>
              <w:top w:val="single" w:color="000000" w:sz="8" w:space="0"/>
              <w:left w:val="single" w:color="000000" w:sz="8" w:space="0"/>
              <w:bottom w:val="single" w:color="000000" w:sz="8" w:space="0"/>
              <w:right w:val="single" w:color="000000" w:sz="8" w:space="0"/>
            </w:tcBorders>
          </w:tcPr>
          <w:p w14:paraId="047BB460">
            <w:pPr>
              <w:rPr>
                <w:rFonts w:ascii="宋体" w:hAnsi="宋体" w:cs="宋体"/>
                <w:szCs w:val="21"/>
              </w:rPr>
            </w:pPr>
            <w:r>
              <w:rPr>
                <w:rFonts w:ascii="Times New Roman" w:hAnsi="Times New Roman"/>
                <w:szCs w:val="21"/>
              </w:rPr>
              <w:t>对同一项目投标时，</w:t>
            </w:r>
            <w:r>
              <w:rPr>
                <w:rFonts w:hint="eastAsia" w:ascii="Times New Roman" w:hAnsi="Times New Roman"/>
                <w:szCs w:val="21"/>
              </w:rPr>
              <w:t>未</w:t>
            </w:r>
            <w:r>
              <w:rPr>
                <w:rFonts w:ascii="Times New Roman" w:hAnsi="Times New Roman"/>
                <w:szCs w:val="21"/>
              </w:rPr>
              <w:t>提供两套</w:t>
            </w:r>
            <w:r>
              <w:rPr>
                <w:rFonts w:hint="eastAsia" w:ascii="Times New Roman" w:hAnsi="Times New Roman"/>
                <w:szCs w:val="21"/>
              </w:rPr>
              <w:t>及</w:t>
            </w:r>
            <w:r>
              <w:rPr>
                <w:rFonts w:ascii="Times New Roman" w:hAnsi="Times New Roman"/>
                <w:szCs w:val="21"/>
              </w:rPr>
              <w:t>以上的投标方案（招标文件另有规定的除外）</w:t>
            </w:r>
          </w:p>
        </w:tc>
      </w:tr>
      <w:tr w14:paraId="7613B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DFEC593">
            <w:pPr>
              <w:jc w:val="center"/>
              <w:rPr>
                <w:rFonts w:ascii="宋体" w:hAnsi="宋体" w:cs="宋体"/>
                <w:szCs w:val="21"/>
              </w:rPr>
            </w:pPr>
            <w:r>
              <w:rPr>
                <w:rFonts w:ascii="Times New Roman" w:hAnsi="Times New Roman"/>
                <w:szCs w:val="21"/>
              </w:rPr>
              <w:t>3</w:t>
            </w:r>
          </w:p>
        </w:tc>
        <w:tc>
          <w:tcPr>
            <w:tcW w:w="0" w:type="auto"/>
            <w:tcBorders>
              <w:top w:val="single" w:color="000000" w:sz="8" w:space="0"/>
              <w:left w:val="single" w:color="000000" w:sz="8" w:space="0"/>
              <w:bottom w:val="single" w:color="000000" w:sz="8" w:space="0"/>
              <w:right w:val="single" w:color="000000" w:sz="8" w:space="0"/>
            </w:tcBorders>
          </w:tcPr>
          <w:p w14:paraId="3CBC3D0D">
            <w:pPr>
              <w:rPr>
                <w:rFonts w:ascii="宋体" w:hAnsi="宋体" w:cs="宋体"/>
                <w:szCs w:val="21"/>
              </w:rPr>
            </w:pPr>
            <w:r>
              <w:rPr>
                <w:rFonts w:hint="eastAsia" w:ascii="宋体" w:hAnsi="宋体" w:cs="宋体"/>
                <w:szCs w:val="21"/>
                <w:lang w:val="en-US" w:eastAsia="zh-CN"/>
              </w:rPr>
              <w:t>填报的“折扣率”满足“0＜折扣率≤1”要求</w:t>
            </w:r>
          </w:p>
        </w:tc>
      </w:tr>
      <w:tr w14:paraId="0C8675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A6DED19">
            <w:pPr>
              <w:jc w:val="center"/>
              <w:rPr>
                <w:rFonts w:ascii="宋体" w:hAnsi="宋体" w:cs="宋体"/>
                <w:szCs w:val="21"/>
              </w:rPr>
            </w:pPr>
            <w:r>
              <w:rPr>
                <w:rFonts w:ascii="Times New Roman" w:hAnsi="Times New Roman"/>
                <w:szCs w:val="21"/>
              </w:rPr>
              <w:t>4</w:t>
            </w:r>
          </w:p>
        </w:tc>
        <w:tc>
          <w:tcPr>
            <w:tcW w:w="0" w:type="auto"/>
            <w:tcBorders>
              <w:top w:val="single" w:color="000000" w:sz="8" w:space="0"/>
              <w:left w:val="single" w:color="000000" w:sz="8" w:space="0"/>
              <w:bottom w:val="single" w:color="000000" w:sz="8" w:space="0"/>
              <w:right w:val="single" w:color="000000" w:sz="8" w:space="0"/>
            </w:tcBorders>
          </w:tcPr>
          <w:p w14:paraId="563C9483">
            <w:pPr>
              <w:rPr>
                <w:rFonts w:ascii="宋体" w:hAnsi="宋体" w:cs="宋体"/>
                <w:szCs w:val="21"/>
              </w:rPr>
            </w:pPr>
            <w:r>
              <w:rPr>
                <w:rFonts w:hint="eastAsia" w:ascii="Times New Roman" w:hAnsi="Times New Roman"/>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14:paraId="233A1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3AEFCE9">
            <w:pPr>
              <w:jc w:val="center"/>
              <w:rPr>
                <w:rFonts w:ascii="宋体" w:hAnsi="宋体" w:cs="宋体"/>
                <w:szCs w:val="21"/>
              </w:rPr>
            </w:pPr>
            <w:r>
              <w:rPr>
                <w:rFonts w:ascii="Times New Roman" w:hAnsi="Times New Roman"/>
                <w:szCs w:val="21"/>
              </w:rPr>
              <w:t>5</w:t>
            </w:r>
          </w:p>
        </w:tc>
        <w:tc>
          <w:tcPr>
            <w:tcW w:w="0" w:type="auto"/>
            <w:tcBorders>
              <w:top w:val="single" w:color="000000" w:sz="8" w:space="0"/>
              <w:left w:val="single" w:color="000000" w:sz="8" w:space="0"/>
              <w:bottom w:val="single" w:color="000000" w:sz="8" w:space="0"/>
              <w:right w:val="single" w:color="000000" w:sz="8" w:space="0"/>
            </w:tcBorders>
          </w:tcPr>
          <w:p w14:paraId="11206047">
            <w:pPr>
              <w:rPr>
                <w:rFonts w:ascii="宋体" w:hAnsi="宋体" w:cs="宋体"/>
                <w:szCs w:val="21"/>
              </w:rPr>
            </w:pPr>
            <w:r>
              <w:rPr>
                <w:rFonts w:ascii="Times New Roman" w:hAnsi="Times New Roman"/>
                <w:szCs w:val="21"/>
              </w:rPr>
              <w:t>投标报价</w:t>
            </w:r>
            <w:r>
              <w:rPr>
                <w:rFonts w:hint="eastAsia" w:ascii="Times New Roman" w:hAnsi="Times New Roman"/>
                <w:szCs w:val="21"/>
              </w:rPr>
              <w:t>满足招标文件报价要求且无</w:t>
            </w:r>
            <w:r>
              <w:rPr>
                <w:rFonts w:ascii="Times New Roman" w:hAnsi="Times New Roman"/>
                <w:szCs w:val="21"/>
              </w:rPr>
              <w:t>缺漏项目</w:t>
            </w:r>
            <w:r>
              <w:rPr>
                <w:rFonts w:ascii="宋体" w:hAnsi="宋体" w:cs="宋体"/>
                <w:szCs w:val="21"/>
              </w:rPr>
              <w:t xml:space="preserve"> </w:t>
            </w:r>
          </w:p>
        </w:tc>
      </w:tr>
      <w:tr w14:paraId="2B8E46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1967322">
            <w:pPr>
              <w:jc w:val="center"/>
              <w:rPr>
                <w:rFonts w:ascii="Times New Roman" w:hAnsi="Times New Roman"/>
                <w:szCs w:val="21"/>
              </w:rPr>
            </w:pPr>
            <w:r>
              <w:rPr>
                <w:rFonts w:hint="eastAsia" w:ascii="Times New Roman" w:hAnsi="Times New Roman"/>
                <w:szCs w:val="21"/>
              </w:rPr>
              <w:t>6</w:t>
            </w:r>
          </w:p>
        </w:tc>
        <w:tc>
          <w:tcPr>
            <w:tcW w:w="0" w:type="auto"/>
            <w:tcBorders>
              <w:top w:val="single" w:color="000000" w:sz="8" w:space="0"/>
              <w:left w:val="single" w:color="000000" w:sz="8" w:space="0"/>
              <w:bottom w:val="single" w:color="000000" w:sz="8" w:space="0"/>
              <w:right w:val="single" w:color="000000" w:sz="8" w:space="0"/>
            </w:tcBorders>
          </w:tcPr>
          <w:p w14:paraId="444DF9BE">
            <w:pPr>
              <w:rPr>
                <w:rFonts w:ascii="Times New Roman" w:hAnsi="Times New Roman"/>
                <w:szCs w:val="21"/>
              </w:rPr>
            </w:pPr>
            <w:r>
              <w:rPr>
                <w:rFonts w:hint="eastAsia" w:ascii="Times New Roman" w:hAnsi="Times New Roman"/>
                <w:szCs w:val="21"/>
              </w:rPr>
              <w:t>投标文件不存在</w:t>
            </w:r>
            <w:r>
              <w:rPr>
                <w:rFonts w:hint="eastAsia"/>
              </w:rPr>
              <w:t>对招标文件规定的货物或服务或工程量清单的项目或数量进行修改，评标委员会判定投标响应不满足采购需求的情形</w:t>
            </w:r>
          </w:p>
        </w:tc>
      </w:tr>
      <w:tr w14:paraId="41FBBB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3E36E43">
            <w:pPr>
              <w:jc w:val="center"/>
              <w:rPr>
                <w:rFonts w:ascii="宋体" w:hAnsi="宋体" w:cs="宋体"/>
                <w:szCs w:val="21"/>
              </w:rPr>
            </w:pPr>
            <w:r>
              <w:rPr>
                <w:rFonts w:hint="eastAsia" w:ascii="Times New Roman" w:hAnsi="Times New Roman"/>
                <w:szCs w:val="21"/>
              </w:rPr>
              <w:t>7</w:t>
            </w:r>
          </w:p>
        </w:tc>
        <w:tc>
          <w:tcPr>
            <w:tcW w:w="0" w:type="auto"/>
            <w:tcBorders>
              <w:top w:val="single" w:color="000000" w:sz="8" w:space="0"/>
              <w:left w:val="single" w:color="000000" w:sz="8" w:space="0"/>
              <w:bottom w:val="single" w:color="000000" w:sz="8" w:space="0"/>
              <w:right w:val="single" w:color="000000" w:sz="8" w:space="0"/>
            </w:tcBorders>
          </w:tcPr>
          <w:p w14:paraId="0C6D93EC">
            <w:pPr>
              <w:rPr>
                <w:rFonts w:ascii="宋体" w:hAnsi="宋体" w:cs="宋体"/>
                <w:szCs w:val="21"/>
              </w:rPr>
            </w:pPr>
            <w:r>
              <w:rPr>
                <w:rFonts w:ascii="Times New Roman" w:hAnsi="Times New Roman"/>
                <w:szCs w:val="21"/>
              </w:rPr>
              <w:t>所投产品、工程、服务在商务、技术等方面实质性满足招标文件要求（是否实质性满足招标文件要求，由评标委员会根据《</w:t>
            </w:r>
            <w:r>
              <w:rPr>
                <w:rFonts w:hint="eastAsia" w:ascii="Times New Roman" w:hAnsi="Times New Roman"/>
                <w:szCs w:val="21"/>
              </w:rPr>
              <w:t>实质性条款响应情况表</w:t>
            </w:r>
            <w:r>
              <w:rPr>
                <w:rFonts w:ascii="Times New Roman" w:hAnsi="Times New Roman"/>
                <w:szCs w:val="21"/>
              </w:rPr>
              <w:t>》做出评判）</w:t>
            </w:r>
          </w:p>
        </w:tc>
      </w:tr>
      <w:tr w14:paraId="0E344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1C18B0C">
            <w:pPr>
              <w:jc w:val="center"/>
              <w:rPr>
                <w:rFonts w:ascii="宋体" w:hAnsi="宋体" w:cs="宋体"/>
                <w:szCs w:val="21"/>
              </w:rPr>
            </w:pPr>
            <w:r>
              <w:rPr>
                <w:rFonts w:hint="eastAsia" w:ascii="Times New Roman" w:hAnsi="Times New Roman"/>
                <w:szCs w:val="21"/>
              </w:rPr>
              <w:t>8</w:t>
            </w:r>
          </w:p>
        </w:tc>
        <w:tc>
          <w:tcPr>
            <w:tcW w:w="0" w:type="auto"/>
            <w:tcBorders>
              <w:top w:val="single" w:color="000000" w:sz="8" w:space="0"/>
              <w:left w:val="single" w:color="000000" w:sz="8" w:space="0"/>
              <w:bottom w:val="single" w:color="000000" w:sz="8" w:space="0"/>
              <w:right w:val="single" w:color="000000" w:sz="8" w:space="0"/>
            </w:tcBorders>
          </w:tcPr>
          <w:p w14:paraId="3E054501">
            <w:pPr>
              <w:rPr>
                <w:rFonts w:ascii="宋体" w:hAnsi="宋体" w:cs="宋体"/>
                <w:szCs w:val="21"/>
              </w:rPr>
            </w:pPr>
            <w:r>
              <w:rPr>
                <w:rFonts w:ascii="Times New Roman" w:hAnsi="Times New Roman"/>
                <w:szCs w:val="21"/>
              </w:rPr>
              <w:t>按招标文件所提供的样式填写《投标函》；按招标文件所提供的《政府采购投标及履约承诺函》进行承诺；</w:t>
            </w:r>
            <w:r>
              <w:rPr>
                <w:rFonts w:hint="eastAsia" w:ascii="Times New Roman" w:hAnsi="Times New Roman"/>
                <w:szCs w:val="21"/>
              </w:rPr>
              <w:t>并</w:t>
            </w:r>
            <w:r>
              <w:rPr>
                <w:rFonts w:ascii="Times New Roman" w:hAnsi="Times New Roman"/>
                <w:szCs w:val="21"/>
              </w:rPr>
              <w:t>按招标文件对投标文件组成的要求提供投标文件（投标文件组成完整）</w:t>
            </w:r>
          </w:p>
        </w:tc>
      </w:tr>
      <w:tr w14:paraId="3415B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DC0CD6B">
            <w:pPr>
              <w:jc w:val="center"/>
              <w:rPr>
                <w:rFonts w:ascii="宋体" w:hAnsi="宋体" w:cs="宋体"/>
                <w:szCs w:val="21"/>
              </w:rPr>
            </w:pPr>
            <w:r>
              <w:rPr>
                <w:rFonts w:hint="eastAsia" w:ascii="Times New Roman" w:hAnsi="Times New Roman"/>
                <w:szCs w:val="21"/>
              </w:rPr>
              <w:t>9</w:t>
            </w:r>
          </w:p>
        </w:tc>
        <w:tc>
          <w:tcPr>
            <w:tcW w:w="0" w:type="auto"/>
            <w:tcBorders>
              <w:top w:val="single" w:color="000000" w:sz="8" w:space="0"/>
              <w:left w:val="single" w:color="000000" w:sz="8" w:space="0"/>
              <w:bottom w:val="single" w:color="000000" w:sz="8" w:space="0"/>
              <w:right w:val="single" w:color="000000" w:sz="8" w:space="0"/>
            </w:tcBorders>
          </w:tcPr>
          <w:p w14:paraId="30FCC309">
            <w:pPr>
              <w:rPr>
                <w:rFonts w:ascii="宋体" w:hAnsi="宋体" w:cs="宋体"/>
                <w:szCs w:val="21"/>
              </w:rPr>
            </w:pPr>
            <w:r>
              <w:rPr>
                <w:rFonts w:hint="eastAsia" w:ascii="Times New Roman" w:hAnsi="Times New Roman"/>
                <w:szCs w:val="21"/>
              </w:rPr>
              <w:t>投标文件不存在列放位置错误，导致属于信息公开内容没有被公开的情形</w:t>
            </w:r>
          </w:p>
        </w:tc>
      </w:tr>
      <w:tr w14:paraId="6A99D8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7460243">
            <w:pPr>
              <w:jc w:val="center"/>
              <w:rPr>
                <w:rFonts w:ascii="宋体" w:hAnsi="宋体" w:cs="宋体"/>
                <w:szCs w:val="21"/>
              </w:rPr>
            </w:pPr>
            <w:r>
              <w:rPr>
                <w:rFonts w:hint="eastAsia" w:ascii="Times New Roman" w:hAnsi="Times New Roman"/>
                <w:szCs w:val="21"/>
              </w:rPr>
              <w:t>10</w:t>
            </w:r>
          </w:p>
        </w:tc>
        <w:tc>
          <w:tcPr>
            <w:tcW w:w="0" w:type="auto"/>
            <w:tcBorders>
              <w:top w:val="single" w:color="000000" w:sz="8" w:space="0"/>
              <w:left w:val="single" w:color="000000" w:sz="8" w:space="0"/>
              <w:bottom w:val="single" w:color="000000" w:sz="8" w:space="0"/>
              <w:right w:val="single" w:color="000000" w:sz="8" w:space="0"/>
            </w:tcBorders>
          </w:tcPr>
          <w:p w14:paraId="2783F0C0">
            <w:pPr>
              <w:rPr>
                <w:rFonts w:ascii="宋体" w:hAnsi="宋体" w:cs="宋体"/>
                <w:szCs w:val="21"/>
              </w:rPr>
            </w:pPr>
            <w:r>
              <w:rPr>
                <w:szCs w:val="21"/>
              </w:rPr>
              <w:t>投标文件</w:t>
            </w:r>
            <w:r>
              <w:rPr>
                <w:rFonts w:hint="eastAsia"/>
                <w:szCs w:val="21"/>
              </w:rPr>
              <w:t>不存在</w:t>
            </w:r>
            <w:r>
              <w:rPr>
                <w:szCs w:val="21"/>
              </w:rPr>
              <w:t>电子文档带病毒</w:t>
            </w:r>
            <w:r>
              <w:rPr>
                <w:rFonts w:hint="eastAsia"/>
                <w:szCs w:val="21"/>
              </w:rPr>
              <w:t>或使</w:t>
            </w:r>
            <w:r>
              <w:rPr>
                <w:szCs w:val="21"/>
              </w:rPr>
              <w:t>用</w:t>
            </w:r>
            <w:r>
              <w:rPr>
                <w:rFonts w:hint="eastAsia"/>
                <w:szCs w:val="21"/>
              </w:rPr>
              <w:t>其他投标人</w:t>
            </w:r>
            <w:r>
              <w:rPr>
                <w:szCs w:val="21"/>
              </w:rPr>
              <w:t>的电子密钥</w:t>
            </w:r>
            <w:r>
              <w:rPr>
                <w:rFonts w:hint="eastAsia"/>
              </w:rPr>
              <w:t>或电子营业执照</w:t>
            </w:r>
            <w:r>
              <w:rPr>
                <w:szCs w:val="21"/>
              </w:rPr>
              <w:t>进行加密</w:t>
            </w:r>
            <w:r>
              <w:rPr>
                <w:rFonts w:hint="eastAsia"/>
                <w:szCs w:val="21"/>
              </w:rPr>
              <w:t>的情形</w:t>
            </w:r>
          </w:p>
        </w:tc>
      </w:tr>
      <w:tr w14:paraId="56A23B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09B0AFF">
            <w:pPr>
              <w:jc w:val="center"/>
              <w:rPr>
                <w:rFonts w:ascii="宋体" w:hAnsi="宋体" w:cs="宋体"/>
                <w:szCs w:val="21"/>
              </w:rPr>
            </w:pPr>
            <w:r>
              <w:rPr>
                <w:rFonts w:hint="eastAsia" w:ascii="Times New Roman" w:hAnsi="Times New Roman"/>
                <w:szCs w:val="21"/>
              </w:rPr>
              <w:t>11</w:t>
            </w:r>
          </w:p>
        </w:tc>
        <w:tc>
          <w:tcPr>
            <w:tcW w:w="0" w:type="auto"/>
            <w:tcBorders>
              <w:top w:val="single" w:color="000000" w:sz="8" w:space="0"/>
              <w:left w:val="single" w:color="000000" w:sz="8" w:space="0"/>
              <w:bottom w:val="single" w:color="000000" w:sz="8" w:space="0"/>
              <w:right w:val="single" w:color="000000" w:sz="8" w:space="0"/>
            </w:tcBorders>
          </w:tcPr>
          <w:p w14:paraId="78829800">
            <w:pPr>
              <w:rPr>
                <w:rFonts w:cs="宋体" w:asciiTheme="minorEastAsia" w:hAnsiTheme="minorEastAsia" w:eastAsiaTheme="minorEastAsia"/>
                <w:szCs w:val="21"/>
              </w:rPr>
            </w:pPr>
            <w:r>
              <w:rPr>
                <w:rFonts w:asciiTheme="minorEastAsia" w:hAnsiTheme="minorEastAsia" w:eastAsiaTheme="minorEastAsia"/>
              </w:rPr>
              <w:t>不同投标</w:t>
            </w:r>
            <w:r>
              <w:rPr>
                <w:rFonts w:hint="eastAsia" w:asciiTheme="minorEastAsia" w:hAnsiTheme="minorEastAsia" w:eastAsiaTheme="minorEastAsia"/>
              </w:rPr>
              <w:t>人的</w:t>
            </w:r>
            <w:r>
              <w:rPr>
                <w:rFonts w:asciiTheme="minorEastAsia" w:hAnsiTheme="minorEastAsia" w:eastAsiaTheme="minorEastAsia"/>
              </w:rPr>
              <w:t>投标文件</w:t>
            </w:r>
            <w:r>
              <w:rPr>
                <w:rFonts w:hint="eastAsia" w:asciiTheme="minorEastAsia" w:hAnsiTheme="minorEastAsia" w:eastAsiaTheme="minorEastAsia"/>
              </w:rPr>
              <w:t>不存在</w:t>
            </w:r>
            <w:r>
              <w:rPr>
                <w:rFonts w:asciiTheme="minorEastAsia" w:hAnsiTheme="minorEastAsia" w:eastAsiaTheme="minorEastAsia"/>
              </w:rPr>
              <w:t>“文件制作机器码”一致</w:t>
            </w:r>
            <w:r>
              <w:rPr>
                <w:rFonts w:hint="eastAsia" w:asciiTheme="minorEastAsia" w:hAnsiTheme="minorEastAsia" w:eastAsiaTheme="minorEastAsia"/>
              </w:rPr>
              <w:t>或</w:t>
            </w:r>
            <w:r>
              <w:rPr>
                <w:rFonts w:hint="eastAsia" w:ascii="Times New Roman" w:hAnsi="Times New Roman"/>
                <w:szCs w:val="24"/>
              </w:rPr>
              <w:t>“文件创建标识码”一致的情形</w:t>
            </w:r>
          </w:p>
        </w:tc>
      </w:tr>
      <w:tr w14:paraId="4CF3E5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1C07AEB">
            <w:pPr>
              <w:jc w:val="center"/>
              <w:rPr>
                <w:rFonts w:ascii="宋体" w:hAnsi="宋体" w:cs="宋体"/>
                <w:szCs w:val="21"/>
              </w:rPr>
            </w:pPr>
            <w:r>
              <w:rPr>
                <w:rFonts w:hint="eastAsia" w:ascii="Times New Roman" w:hAnsi="Times New Roman"/>
                <w:szCs w:val="21"/>
              </w:rPr>
              <w:t>12</w:t>
            </w:r>
          </w:p>
        </w:tc>
        <w:tc>
          <w:tcPr>
            <w:tcW w:w="0" w:type="auto"/>
            <w:tcBorders>
              <w:top w:val="single" w:color="000000" w:sz="8" w:space="0"/>
              <w:left w:val="single" w:color="000000" w:sz="8" w:space="0"/>
              <w:bottom w:val="single" w:color="000000" w:sz="8" w:space="0"/>
              <w:right w:val="single" w:color="000000" w:sz="8" w:space="0"/>
            </w:tcBorders>
          </w:tcPr>
          <w:p w14:paraId="1E6545C8">
            <w:pPr>
              <w:rPr>
                <w:rFonts w:ascii="宋体" w:hAnsi="宋体" w:cs="宋体"/>
                <w:szCs w:val="21"/>
              </w:rPr>
            </w:pPr>
            <w:r>
              <w:rPr>
                <w:rFonts w:hint="eastAsia" w:ascii="Times New Roman" w:hAnsi="Times New Roman"/>
                <w:szCs w:val="24"/>
              </w:rPr>
              <w:t>法律、法规、规章、规范性文件规定的其他情形</w:t>
            </w:r>
          </w:p>
        </w:tc>
      </w:tr>
    </w:tbl>
    <w:p w14:paraId="0C56973C">
      <w:pPr>
        <w:spacing w:line="324" w:lineRule="auto"/>
        <w:ind w:firstLine="420"/>
        <w:rPr>
          <w:rFonts w:ascii="Times New Roman" w:hAnsi="Times New Roman"/>
          <w:b/>
          <w:color w:val="FF0000"/>
          <w:szCs w:val="21"/>
        </w:rPr>
      </w:pPr>
      <w:r>
        <w:rPr>
          <w:rFonts w:hint="eastAsia" w:ascii="Times New Roman" w:hAnsi="Times New Roman"/>
          <w:b/>
          <w:color w:val="FF0000"/>
          <w:szCs w:val="21"/>
        </w:rPr>
        <w:t>特别说明：</w:t>
      </w:r>
    </w:p>
    <w:p w14:paraId="0BD61035">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1、投标人须在开标当日的开标时间至解密截止时间内完成投标文件在线解密，逾期未解密的作无效处理。</w:t>
      </w:r>
    </w:p>
    <w:p w14:paraId="06169176">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2、投标人不符合《资格性审查表》或《符合性审查表》中任一情形的，初审不通过，投标无效。</w:t>
      </w:r>
    </w:p>
    <w:p w14:paraId="3DC5F21B">
      <w:pPr>
        <w:spacing w:line="324" w:lineRule="auto"/>
        <w:ind w:firstLine="420"/>
        <w:rPr>
          <w:rFonts w:asciiTheme="minorEastAsia" w:hAnsiTheme="minorEastAsia" w:eastAsiaTheme="minorEastAsia"/>
          <w:b/>
          <w:color w:val="FF0000"/>
          <w:szCs w:val="21"/>
        </w:rPr>
      </w:pPr>
    </w:p>
    <w:p w14:paraId="65070547">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4"/>
        <w:tblW w:w="9072" w:type="dxa"/>
        <w:jc w:val="center"/>
        <w:tblCellSpacing w:w="0" w:type="dxa"/>
        <w:tblLayout w:type="autofit"/>
        <w:tblCellMar>
          <w:top w:w="45" w:type="dxa"/>
          <w:left w:w="45" w:type="dxa"/>
          <w:bottom w:w="45" w:type="dxa"/>
          <w:right w:w="45" w:type="dxa"/>
        </w:tblCellMar>
      </w:tblPr>
      <w:tblGrid>
        <w:gridCol w:w="8824"/>
        <w:gridCol w:w="248"/>
      </w:tblGrid>
      <w:tr w14:paraId="0D1DC186">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7EF45ECE">
            <w:pPr>
              <w:rPr>
                <w:rFonts w:ascii="宋体" w:hAnsi="宋体" w:cs="宋体"/>
                <w:b/>
                <w:bCs/>
                <w:sz w:val="24"/>
                <w:szCs w:val="24"/>
              </w:rPr>
            </w:pPr>
            <w:r>
              <w:rPr>
                <w:b/>
                <w:bCs/>
              </w:rPr>
              <w:t>评标方法：综合评分法（新价格分算法）</w:t>
            </w:r>
          </w:p>
        </w:tc>
        <w:tc>
          <w:tcPr>
            <w:tcW w:w="0" w:type="auto"/>
            <w:tcBorders>
              <w:top w:val="nil"/>
              <w:left w:val="nil"/>
              <w:bottom w:val="nil"/>
              <w:right w:val="nil"/>
            </w:tcBorders>
            <w:vAlign w:val="center"/>
          </w:tcPr>
          <w:p w14:paraId="10D288F8">
            <w:pPr>
              <w:jc w:val="right"/>
              <w:rPr>
                <w:rFonts w:ascii="宋体" w:hAnsi="宋体" w:cs="宋体"/>
                <w:b/>
                <w:bCs/>
                <w:sz w:val="24"/>
                <w:szCs w:val="24"/>
              </w:rPr>
            </w:pPr>
          </w:p>
        </w:tc>
      </w:tr>
      <w:tr w14:paraId="504978FC">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2232617C">
            <w:pPr>
              <w:pStyle w:val="38"/>
              <w:spacing w:line="324" w:lineRule="auto"/>
              <w:ind w:firstLine="420"/>
              <w:rPr>
                <w:sz w:val="21"/>
                <w:szCs w:val="21"/>
              </w:rPr>
            </w:pPr>
            <w:r>
              <w:rPr>
                <w:sz w:val="21"/>
                <w:szCs w:val="21"/>
              </w:rPr>
              <w:t>综合评分法，是指</w:t>
            </w:r>
            <w:r>
              <w:rPr>
                <w:rFonts w:hint="eastAsia"/>
                <w:sz w:val="21"/>
                <w:szCs w:val="21"/>
              </w:rPr>
              <w:t>在最大限度地满足招标文件实质性要求的前提下，按照招标文件中规定的各项因素进行综合评审，评标总得分排名前列的投标人，作为推荐的候选中标供应商</w:t>
            </w:r>
            <w:r>
              <w:rPr>
                <w:sz w:val="21"/>
                <w:szCs w:val="21"/>
              </w:rPr>
              <w:t xml:space="preserve">。 </w:t>
            </w:r>
          </w:p>
          <w:p w14:paraId="696F56BC">
            <w:pPr>
              <w:pStyle w:val="38"/>
              <w:ind w:firstLine="420"/>
              <w:rPr>
                <w:sz w:val="21"/>
                <w:szCs w:val="21"/>
              </w:rPr>
            </w:pPr>
            <w:r>
              <w:rPr>
                <w:sz w:val="21"/>
                <w:szCs w:val="21"/>
              </w:rPr>
              <w:t>价格分计算方法：</w:t>
            </w:r>
          </w:p>
          <w:p w14:paraId="787F36AC">
            <w:pPr>
              <w:pStyle w:val="38"/>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rFonts w:hint="eastAsia"/>
                <w:sz w:val="21"/>
                <w:szCs w:val="21"/>
              </w:rPr>
              <w:t>因落实政府采购政策进行价格调整的，以调整后的价格计算评标基准价和投标报价</w:t>
            </w:r>
            <w:r>
              <w:rPr>
                <w:sz w:val="21"/>
                <w:szCs w:val="21"/>
              </w:rPr>
              <w:t xml:space="preserve">。 </w:t>
            </w:r>
          </w:p>
        </w:tc>
      </w:tr>
    </w:tbl>
    <w:p w14:paraId="23E18D32">
      <w:pPr>
        <w:rPr>
          <w:vanish/>
        </w:rPr>
      </w:pPr>
    </w:p>
    <w:tbl>
      <w:tblPr>
        <w:tblStyle w:val="44"/>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763"/>
      </w:tblGrid>
      <w:tr w14:paraId="2B769B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C22E395">
            <w:pPr>
              <w:keepNext w:val="0"/>
              <w:keepLines w:val="0"/>
              <w:pageBreakBefore w:val="0"/>
              <w:kinsoku/>
              <w:wordWrap/>
              <w:overflowPunct/>
              <w:topLinePunct w:val="0"/>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500AEEAE">
            <w:pPr>
              <w:keepNext w:val="0"/>
              <w:keepLines w:val="0"/>
              <w:pageBreakBefore w:val="0"/>
              <w:kinsoku/>
              <w:wordWrap/>
              <w:overflowPunct/>
              <w:topLinePunct w:val="0"/>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76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C9AF7CA">
            <w:pPr>
              <w:keepNext w:val="0"/>
              <w:keepLines w:val="0"/>
              <w:pageBreakBefore w:val="0"/>
              <w:kinsoku/>
              <w:wordWrap/>
              <w:overflowPunct/>
              <w:topLinePunct w:val="0"/>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14:paraId="0A07E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right w:val="single" w:color="000000" w:sz="8" w:space="0"/>
            </w:tcBorders>
          </w:tcPr>
          <w:p w14:paraId="205785C0">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689772EC">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4763" w:type="dxa"/>
            <w:tcBorders>
              <w:top w:val="single" w:color="000000" w:sz="8" w:space="0"/>
              <w:left w:val="single" w:color="000000" w:sz="8" w:space="0"/>
              <w:bottom w:val="single" w:color="000000" w:sz="8" w:space="0"/>
              <w:right w:val="single" w:color="000000" w:sz="8" w:space="0"/>
            </w:tcBorders>
          </w:tcPr>
          <w:p w14:paraId="7DC625F5">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10</w:t>
            </w:r>
          </w:p>
        </w:tc>
      </w:tr>
      <w:tr w14:paraId="40B6A4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14235B1B">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3B6E53C1">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w:t>
            </w:r>
          </w:p>
        </w:tc>
        <w:tc>
          <w:tcPr>
            <w:tcW w:w="4763" w:type="dxa"/>
            <w:tcBorders>
              <w:top w:val="single" w:color="000000" w:sz="8" w:space="0"/>
              <w:left w:val="single" w:color="000000" w:sz="8" w:space="0"/>
              <w:bottom w:val="single" w:color="000000" w:sz="8" w:space="0"/>
              <w:right w:val="single" w:color="000000" w:sz="8" w:space="0"/>
            </w:tcBorders>
          </w:tcPr>
          <w:p w14:paraId="742B9C25">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70</w:t>
            </w:r>
          </w:p>
        </w:tc>
      </w:tr>
      <w:tr w14:paraId="36DEC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6032AD95">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17DC022">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C09FC4B">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3CFDA7C">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AE6096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22AA28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276C2CF3">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7067930D">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50719FA8">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实施方案</w:t>
            </w:r>
          </w:p>
        </w:tc>
        <w:tc>
          <w:tcPr>
            <w:tcW w:w="681" w:type="dxa"/>
            <w:tcBorders>
              <w:top w:val="single" w:color="000000" w:sz="8" w:space="0"/>
              <w:left w:val="single" w:color="000000" w:sz="8" w:space="0"/>
              <w:bottom w:val="single" w:color="000000" w:sz="8" w:space="0"/>
              <w:right w:val="single" w:color="000000" w:sz="8" w:space="0"/>
            </w:tcBorders>
          </w:tcPr>
          <w:p w14:paraId="727F9963">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4763" w:type="dxa"/>
            <w:tcBorders>
              <w:top w:val="single" w:color="000000" w:sz="8" w:space="0"/>
              <w:left w:val="single" w:color="000000" w:sz="8" w:space="0"/>
              <w:bottom w:val="single" w:color="000000" w:sz="8" w:space="0"/>
              <w:right w:val="single" w:color="000000" w:sz="8" w:space="0"/>
            </w:tcBorders>
          </w:tcPr>
          <w:p w14:paraId="08FCEAD6">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5AADE725">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考察投标人提供的项目实施方案，包括但不限于以下内容：</w:t>
            </w:r>
          </w:p>
          <w:p w14:paraId="7EA88403">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（1）配送服务的货源；</w:t>
            </w:r>
          </w:p>
          <w:p w14:paraId="764ABFD2">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（2）采购渠道；</w:t>
            </w:r>
          </w:p>
          <w:p w14:paraId="5C183DEC">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（3）供货保障；</w:t>
            </w:r>
          </w:p>
          <w:p w14:paraId="3BC01958">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（4）品质监控；</w:t>
            </w:r>
          </w:p>
          <w:p w14:paraId="38D4915C">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（5）日常管理组织；</w:t>
            </w:r>
          </w:p>
          <w:p w14:paraId="62D10925">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（6）物流配送等方面。</w:t>
            </w:r>
          </w:p>
          <w:p w14:paraId="7A68B4F5">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p>
          <w:p w14:paraId="7A924176">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（二）评分标准：</w:t>
            </w:r>
          </w:p>
          <w:p w14:paraId="72DC557D">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满足以上任意一点内容1</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.5分，最高得</w:t>
            </w:r>
            <w:r>
              <w:rPr>
                <w:rFonts w:hint="eastAsia" w:ascii="宋体" w:hAnsi="宋体" w:eastAsia="宋体" w:cs="宋体"/>
                <w:b w:val="0"/>
                <w:bCs w:val="0"/>
                <w:sz w:val="21"/>
                <w:szCs w:val="21"/>
                <w:lang w:val="en-US" w:eastAsia="zh-CN"/>
              </w:rPr>
              <w:t>75</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其他情况不得分。在此基础上，由评审委员会对具休响应内容进一步评审：</w:t>
            </w:r>
          </w:p>
          <w:p w14:paraId="42E6B5EC">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1.配送服务的货源</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采购渠道</w:t>
            </w:r>
            <w:r>
              <w:rPr>
                <w:rFonts w:hint="eastAsia" w:ascii="宋体" w:hAnsi="宋体" w:eastAsia="宋体" w:cs="宋体"/>
                <w:b w:val="0"/>
                <w:bCs w:val="0"/>
                <w:sz w:val="21"/>
                <w:szCs w:val="21"/>
                <w:lang w:val="en-US" w:eastAsia="zh-CN"/>
              </w:rPr>
              <w:t>及</w:t>
            </w:r>
            <w:r>
              <w:rPr>
                <w:rFonts w:hint="eastAsia" w:ascii="宋体" w:hAnsi="宋体" w:eastAsia="宋体" w:cs="宋体"/>
                <w:b w:val="0"/>
                <w:bCs w:val="0"/>
                <w:sz w:val="21"/>
                <w:szCs w:val="21"/>
              </w:rPr>
              <w:t>供货保障</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lang w:val="en-US" w:eastAsia="zh-CN"/>
              </w:rPr>
              <w:t>实施方案合计提供达到15条（项）及以上且内容符合项目特点</w:t>
            </w:r>
            <w:r>
              <w:rPr>
                <w:rFonts w:hint="eastAsia" w:ascii="宋体" w:hAnsi="宋体" w:eastAsia="宋体" w:cs="宋体"/>
                <w:b w:val="0"/>
                <w:bCs w:val="0"/>
                <w:sz w:val="21"/>
                <w:szCs w:val="21"/>
                <w:lang w:eastAsia="zh-CN"/>
              </w:rPr>
              <w:t>；</w:t>
            </w:r>
          </w:p>
          <w:p w14:paraId="2E65B625">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2.品质监控</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日常管理组织</w:t>
            </w:r>
            <w:r>
              <w:rPr>
                <w:rFonts w:hint="eastAsia" w:ascii="宋体" w:hAnsi="宋体" w:eastAsia="宋体" w:cs="宋体"/>
                <w:b w:val="0"/>
                <w:bCs w:val="0"/>
                <w:sz w:val="21"/>
                <w:szCs w:val="21"/>
                <w:lang w:val="en-US" w:eastAsia="zh-CN"/>
              </w:rPr>
              <w:t>及</w:t>
            </w:r>
            <w:r>
              <w:rPr>
                <w:rFonts w:hint="eastAsia" w:ascii="宋体" w:hAnsi="宋体" w:eastAsia="宋体" w:cs="宋体"/>
                <w:b w:val="0"/>
                <w:bCs w:val="0"/>
                <w:sz w:val="21"/>
                <w:szCs w:val="21"/>
              </w:rPr>
              <w:t>物流配送等方面</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lang w:val="en-US" w:eastAsia="zh-CN"/>
              </w:rPr>
              <w:t>实施方案合计提供达到15条（项）及以上且内容符合项目特点</w:t>
            </w:r>
            <w:r>
              <w:rPr>
                <w:rFonts w:hint="eastAsia" w:ascii="宋体" w:hAnsi="宋体" w:eastAsia="宋体" w:cs="宋体"/>
                <w:b w:val="0"/>
                <w:bCs w:val="0"/>
                <w:sz w:val="21"/>
                <w:szCs w:val="21"/>
                <w:lang w:eastAsia="zh-CN"/>
              </w:rPr>
              <w:t>；</w:t>
            </w:r>
          </w:p>
          <w:p w14:paraId="0B49E0A3">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投标人提供的</w:t>
            </w:r>
            <w:r>
              <w:rPr>
                <w:rFonts w:hint="eastAsia" w:ascii="宋体" w:hAnsi="宋体" w:eastAsia="宋体" w:cs="宋体"/>
                <w:b w:val="0"/>
                <w:bCs w:val="0"/>
                <w:sz w:val="21"/>
                <w:szCs w:val="21"/>
              </w:rPr>
              <w:t>实施方案</w:t>
            </w:r>
            <w:r>
              <w:rPr>
                <w:rFonts w:hint="eastAsia" w:ascii="宋体" w:hAnsi="宋体" w:eastAsia="宋体" w:cs="宋体"/>
                <w:b w:val="0"/>
                <w:bCs w:val="0"/>
                <w:sz w:val="21"/>
                <w:szCs w:val="21"/>
                <w:lang w:val="en-US" w:eastAsia="zh-CN"/>
              </w:rPr>
              <w:t>内容</w:t>
            </w:r>
            <w:r>
              <w:rPr>
                <w:rFonts w:hint="eastAsia" w:ascii="宋体" w:hAnsi="宋体" w:eastAsia="宋体" w:cs="宋体"/>
                <w:b w:val="0"/>
                <w:bCs w:val="0"/>
                <w:sz w:val="21"/>
                <w:szCs w:val="21"/>
              </w:rPr>
              <w:t>满足</w:t>
            </w:r>
            <w:r>
              <w:rPr>
                <w:rFonts w:hint="eastAsia" w:ascii="宋体" w:hAnsi="宋体" w:eastAsia="宋体" w:cs="宋体"/>
                <w:b w:val="0"/>
                <w:bCs w:val="0"/>
                <w:sz w:val="21"/>
                <w:szCs w:val="21"/>
                <w:lang w:val="en-US" w:eastAsia="zh-CN"/>
              </w:rPr>
              <w:t>项目需求且</w:t>
            </w:r>
            <w:r>
              <w:rPr>
                <w:rFonts w:hint="eastAsia" w:ascii="宋体" w:hAnsi="宋体" w:eastAsia="宋体" w:cs="宋体"/>
                <w:b w:val="0"/>
                <w:bCs w:val="0"/>
                <w:sz w:val="21"/>
                <w:szCs w:val="21"/>
              </w:rPr>
              <w:t>与实际情况</w:t>
            </w:r>
            <w:r>
              <w:rPr>
                <w:rFonts w:hint="eastAsia" w:ascii="宋体" w:hAnsi="宋体" w:eastAsia="宋体" w:cs="宋体"/>
                <w:b w:val="0"/>
                <w:bCs w:val="0"/>
                <w:sz w:val="21"/>
                <w:szCs w:val="21"/>
                <w:lang w:val="en-US" w:eastAsia="zh-CN"/>
              </w:rPr>
              <w:t>相符</w:t>
            </w:r>
            <w:r>
              <w:rPr>
                <w:rFonts w:hint="eastAsia" w:ascii="宋体" w:hAnsi="宋体" w:eastAsia="宋体" w:cs="宋体"/>
                <w:b w:val="0"/>
                <w:bCs w:val="0"/>
                <w:sz w:val="21"/>
                <w:szCs w:val="21"/>
              </w:rPr>
              <w:t>。</w:t>
            </w:r>
          </w:p>
          <w:p w14:paraId="7E49F242">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满足</w:t>
            </w:r>
            <w:r>
              <w:rPr>
                <w:rFonts w:hint="eastAsia" w:ascii="宋体" w:hAnsi="宋体" w:eastAsia="宋体" w:cs="宋体"/>
                <w:b w:val="0"/>
                <w:bCs w:val="0"/>
                <w:sz w:val="21"/>
                <w:szCs w:val="21"/>
              </w:rPr>
              <w:t>以上三项内容</w:t>
            </w:r>
            <w:r>
              <w:rPr>
                <w:rFonts w:hint="eastAsia" w:ascii="宋体" w:hAnsi="宋体" w:eastAsia="宋体" w:cs="宋体"/>
                <w:b w:val="0"/>
                <w:bCs w:val="0"/>
                <w:sz w:val="21"/>
                <w:szCs w:val="21"/>
                <w:lang w:val="en-US" w:eastAsia="zh-CN"/>
              </w:rPr>
              <w:t>加25</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val="en-US" w:eastAsia="zh-CN"/>
              </w:rPr>
              <w:t>满足</w:t>
            </w:r>
            <w:r>
              <w:rPr>
                <w:rFonts w:hint="eastAsia" w:ascii="宋体" w:hAnsi="宋体" w:eastAsia="宋体" w:cs="宋体"/>
                <w:b w:val="0"/>
                <w:bCs w:val="0"/>
                <w:sz w:val="21"/>
                <w:szCs w:val="21"/>
              </w:rPr>
              <w:t>以上二项内容</w:t>
            </w:r>
            <w:r>
              <w:rPr>
                <w:rFonts w:hint="eastAsia" w:ascii="宋体" w:hAnsi="宋体" w:eastAsia="宋体" w:cs="宋体"/>
                <w:b w:val="0"/>
                <w:bCs w:val="0"/>
                <w:sz w:val="21"/>
                <w:szCs w:val="21"/>
                <w:lang w:val="en-US" w:eastAsia="zh-CN"/>
              </w:rPr>
              <w:t>加15</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val="en-US" w:eastAsia="zh-CN"/>
              </w:rPr>
              <w:t>满足</w:t>
            </w:r>
            <w:r>
              <w:rPr>
                <w:rFonts w:hint="eastAsia" w:ascii="宋体" w:hAnsi="宋体" w:eastAsia="宋体" w:cs="宋体"/>
                <w:b w:val="0"/>
                <w:bCs w:val="0"/>
                <w:sz w:val="21"/>
                <w:szCs w:val="21"/>
              </w:rPr>
              <w:t>以上一项内容</w:t>
            </w:r>
            <w:r>
              <w:rPr>
                <w:rFonts w:hint="eastAsia" w:ascii="宋体" w:hAnsi="宋体" w:eastAsia="宋体" w:cs="宋体"/>
                <w:b w:val="0"/>
                <w:bCs w:val="0"/>
                <w:sz w:val="21"/>
                <w:szCs w:val="21"/>
                <w:lang w:val="en-US" w:eastAsia="zh-CN"/>
              </w:rPr>
              <w:t>加5分</w:t>
            </w:r>
            <w:r>
              <w:rPr>
                <w:rFonts w:hint="eastAsia" w:ascii="宋体" w:hAnsi="宋体" w:eastAsia="宋体" w:cs="宋体"/>
                <w:b w:val="0"/>
                <w:bCs w:val="0"/>
                <w:sz w:val="21"/>
                <w:szCs w:val="21"/>
              </w:rPr>
              <w:t>；其他情况不得分。</w:t>
            </w:r>
          </w:p>
        </w:tc>
      </w:tr>
      <w:tr w14:paraId="784F9B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6C4855F5">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4D00871A">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598C2FDF">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内控制度情况</w:t>
            </w:r>
          </w:p>
        </w:tc>
        <w:tc>
          <w:tcPr>
            <w:tcW w:w="681" w:type="dxa"/>
            <w:tcBorders>
              <w:top w:val="single" w:color="000000" w:sz="8" w:space="0"/>
              <w:left w:val="single" w:color="000000" w:sz="8" w:space="0"/>
              <w:bottom w:val="single" w:color="000000" w:sz="8" w:space="0"/>
              <w:right w:val="single" w:color="000000" w:sz="8" w:space="0"/>
            </w:tcBorders>
          </w:tcPr>
          <w:p w14:paraId="16D1CB82">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4763" w:type="dxa"/>
            <w:tcBorders>
              <w:top w:val="single" w:color="000000" w:sz="8" w:space="0"/>
              <w:left w:val="single" w:color="000000" w:sz="8" w:space="0"/>
              <w:bottom w:val="single" w:color="000000" w:sz="8" w:space="0"/>
              <w:right w:val="single" w:color="000000" w:sz="8" w:space="0"/>
            </w:tcBorders>
          </w:tcPr>
          <w:p w14:paraId="2030B58B">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773790E8">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考察投标人的内控制度情况，包括但不限于以下内容:</w:t>
            </w:r>
          </w:p>
          <w:p w14:paraId="5CAAC474">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（1）食品安全保障制度；</w:t>
            </w:r>
          </w:p>
          <w:p w14:paraId="7427F06C">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（2）人员岗位职责；</w:t>
            </w:r>
          </w:p>
          <w:p w14:paraId="671CE855">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（3）操作规程；</w:t>
            </w:r>
          </w:p>
          <w:p w14:paraId="6848241F">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（4）劳动纪律和奖惩办法；</w:t>
            </w:r>
          </w:p>
          <w:p w14:paraId="0F370002">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（5）客户投诉反馈管理制度。</w:t>
            </w:r>
          </w:p>
          <w:p w14:paraId="26AF989B">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p>
          <w:p w14:paraId="7CC465A2">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（二）评分标准：</w:t>
            </w:r>
          </w:p>
          <w:p w14:paraId="1EBA19CF">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满足以上任意一点内容</w:t>
            </w: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分，最高得</w:t>
            </w:r>
            <w:r>
              <w:rPr>
                <w:rFonts w:hint="eastAsia" w:ascii="宋体" w:hAnsi="宋体" w:eastAsia="宋体" w:cs="宋体"/>
                <w:b w:val="0"/>
                <w:bCs w:val="0"/>
                <w:sz w:val="21"/>
                <w:szCs w:val="21"/>
                <w:lang w:val="en-US" w:eastAsia="zh-CN"/>
              </w:rPr>
              <w:t>75</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其他情况不得分。在此基础上，由评审委员会对具休响应内容进一步评审：</w:t>
            </w:r>
          </w:p>
          <w:p w14:paraId="4CAFFA0A">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食品安全保障制度</w:t>
            </w:r>
            <w:r>
              <w:rPr>
                <w:rFonts w:hint="eastAsia" w:ascii="宋体" w:hAnsi="宋体" w:eastAsia="宋体" w:cs="宋体"/>
                <w:b w:val="0"/>
                <w:bCs w:val="0"/>
                <w:sz w:val="21"/>
                <w:szCs w:val="21"/>
                <w:lang w:val="en-US" w:eastAsia="zh-CN"/>
              </w:rPr>
              <w:t>及</w:t>
            </w:r>
            <w:r>
              <w:rPr>
                <w:rFonts w:hint="eastAsia" w:ascii="宋体" w:hAnsi="宋体" w:eastAsia="宋体" w:cs="宋体"/>
                <w:b w:val="0"/>
                <w:bCs w:val="0"/>
                <w:sz w:val="21"/>
                <w:szCs w:val="21"/>
              </w:rPr>
              <w:t>客户投诉反馈管理制度</w:t>
            </w:r>
            <w:r>
              <w:rPr>
                <w:rFonts w:hint="eastAsia" w:ascii="宋体" w:hAnsi="宋体" w:eastAsia="宋体" w:cs="宋体"/>
                <w:b w:val="0"/>
                <w:bCs w:val="0"/>
                <w:sz w:val="21"/>
                <w:szCs w:val="21"/>
                <w:lang w:val="en-US" w:eastAsia="zh-CN"/>
              </w:rPr>
              <w:t>合计提供达到10条（项）及以上且内容符合项目特点；</w:t>
            </w:r>
          </w:p>
          <w:p w14:paraId="14766F5F">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人员岗位职责</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操作规程</w:t>
            </w:r>
            <w:r>
              <w:rPr>
                <w:rFonts w:hint="eastAsia" w:ascii="宋体" w:hAnsi="宋体" w:eastAsia="宋体" w:cs="宋体"/>
                <w:b w:val="0"/>
                <w:bCs w:val="0"/>
                <w:sz w:val="21"/>
                <w:szCs w:val="21"/>
                <w:lang w:val="en-US" w:eastAsia="zh-CN"/>
              </w:rPr>
              <w:t>及</w:t>
            </w:r>
            <w:r>
              <w:rPr>
                <w:rFonts w:hint="eastAsia" w:ascii="宋体" w:hAnsi="宋体" w:eastAsia="宋体" w:cs="宋体"/>
                <w:b w:val="0"/>
                <w:bCs w:val="0"/>
                <w:sz w:val="21"/>
                <w:szCs w:val="21"/>
              </w:rPr>
              <w:t>劳动纪律和奖惩办法</w:t>
            </w:r>
            <w:r>
              <w:rPr>
                <w:rFonts w:hint="eastAsia" w:ascii="宋体" w:hAnsi="宋体" w:eastAsia="宋体" w:cs="宋体"/>
                <w:b w:val="0"/>
                <w:bCs w:val="0"/>
                <w:sz w:val="21"/>
                <w:szCs w:val="21"/>
                <w:lang w:val="en-US" w:eastAsia="zh-CN"/>
              </w:rPr>
              <w:t>合计提供达到15条（项）及以上且内容符合项目特点</w:t>
            </w:r>
            <w:r>
              <w:rPr>
                <w:rFonts w:hint="eastAsia" w:ascii="宋体" w:hAnsi="宋体" w:eastAsia="宋体" w:cs="宋体"/>
                <w:b w:val="0"/>
                <w:bCs w:val="0"/>
                <w:sz w:val="21"/>
                <w:szCs w:val="21"/>
                <w:lang w:eastAsia="zh-CN"/>
              </w:rPr>
              <w:t>；</w:t>
            </w:r>
          </w:p>
          <w:p w14:paraId="001E2026">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3.投标人提供的内控制度内容</w:t>
            </w:r>
            <w:r>
              <w:rPr>
                <w:rFonts w:hint="eastAsia" w:ascii="宋体" w:hAnsi="宋体" w:eastAsia="宋体" w:cs="宋体"/>
                <w:b w:val="0"/>
                <w:bCs w:val="0"/>
                <w:sz w:val="21"/>
                <w:szCs w:val="21"/>
              </w:rPr>
              <w:t>满足</w:t>
            </w:r>
            <w:r>
              <w:rPr>
                <w:rFonts w:hint="eastAsia" w:ascii="宋体" w:hAnsi="宋体" w:eastAsia="宋体" w:cs="宋体"/>
                <w:b w:val="0"/>
                <w:bCs w:val="0"/>
                <w:sz w:val="21"/>
                <w:szCs w:val="21"/>
                <w:lang w:val="en-US" w:eastAsia="zh-CN"/>
              </w:rPr>
              <w:t>项目需求且</w:t>
            </w:r>
            <w:r>
              <w:rPr>
                <w:rFonts w:hint="eastAsia" w:ascii="宋体" w:hAnsi="宋体" w:eastAsia="宋体" w:cs="宋体"/>
                <w:b w:val="0"/>
                <w:bCs w:val="0"/>
                <w:sz w:val="21"/>
                <w:szCs w:val="21"/>
              </w:rPr>
              <w:t>与实际情况</w:t>
            </w:r>
            <w:r>
              <w:rPr>
                <w:rFonts w:hint="eastAsia" w:ascii="宋体" w:hAnsi="宋体" w:eastAsia="宋体" w:cs="宋体"/>
                <w:b w:val="0"/>
                <w:bCs w:val="0"/>
                <w:sz w:val="21"/>
                <w:szCs w:val="21"/>
                <w:lang w:val="en-US" w:eastAsia="zh-CN"/>
              </w:rPr>
              <w:t>相符</w:t>
            </w:r>
            <w:r>
              <w:rPr>
                <w:rFonts w:hint="eastAsia" w:ascii="宋体" w:hAnsi="宋体" w:eastAsia="宋体" w:cs="宋体"/>
                <w:b w:val="0"/>
                <w:bCs w:val="0"/>
                <w:sz w:val="21"/>
                <w:szCs w:val="21"/>
                <w:lang w:eastAsia="zh-CN"/>
              </w:rPr>
              <w:t>。</w:t>
            </w:r>
          </w:p>
          <w:p w14:paraId="1429B8F3">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满足</w:t>
            </w:r>
            <w:r>
              <w:rPr>
                <w:rFonts w:hint="eastAsia" w:ascii="宋体" w:hAnsi="宋体" w:eastAsia="宋体" w:cs="宋体"/>
                <w:b w:val="0"/>
                <w:bCs w:val="0"/>
                <w:sz w:val="21"/>
                <w:szCs w:val="21"/>
              </w:rPr>
              <w:t>以上三项内容</w:t>
            </w:r>
            <w:r>
              <w:rPr>
                <w:rFonts w:hint="eastAsia" w:ascii="宋体" w:hAnsi="宋体" w:eastAsia="宋体" w:cs="宋体"/>
                <w:b w:val="0"/>
                <w:bCs w:val="0"/>
                <w:sz w:val="21"/>
                <w:szCs w:val="21"/>
                <w:lang w:val="en-US" w:eastAsia="zh-CN"/>
              </w:rPr>
              <w:t>加25</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val="en-US" w:eastAsia="zh-CN"/>
              </w:rPr>
              <w:t>满足</w:t>
            </w:r>
            <w:r>
              <w:rPr>
                <w:rFonts w:hint="eastAsia" w:ascii="宋体" w:hAnsi="宋体" w:eastAsia="宋体" w:cs="宋体"/>
                <w:b w:val="0"/>
                <w:bCs w:val="0"/>
                <w:sz w:val="21"/>
                <w:szCs w:val="21"/>
              </w:rPr>
              <w:t>以上二项内容</w:t>
            </w:r>
            <w:r>
              <w:rPr>
                <w:rFonts w:hint="eastAsia" w:ascii="宋体" w:hAnsi="宋体" w:eastAsia="宋体" w:cs="宋体"/>
                <w:b w:val="0"/>
                <w:bCs w:val="0"/>
                <w:sz w:val="21"/>
                <w:szCs w:val="21"/>
                <w:lang w:val="en-US" w:eastAsia="zh-CN"/>
              </w:rPr>
              <w:t>加15</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val="en-US" w:eastAsia="zh-CN"/>
              </w:rPr>
              <w:t>满足</w:t>
            </w:r>
            <w:r>
              <w:rPr>
                <w:rFonts w:hint="eastAsia" w:ascii="宋体" w:hAnsi="宋体" w:eastAsia="宋体" w:cs="宋体"/>
                <w:b w:val="0"/>
                <w:bCs w:val="0"/>
                <w:sz w:val="21"/>
                <w:szCs w:val="21"/>
              </w:rPr>
              <w:t>以上一项内容</w:t>
            </w:r>
            <w:r>
              <w:rPr>
                <w:rFonts w:hint="eastAsia" w:ascii="宋体" w:hAnsi="宋体" w:eastAsia="宋体" w:cs="宋体"/>
                <w:b w:val="0"/>
                <w:bCs w:val="0"/>
                <w:sz w:val="21"/>
                <w:szCs w:val="21"/>
                <w:lang w:val="en-US" w:eastAsia="zh-CN"/>
              </w:rPr>
              <w:t>加5分</w:t>
            </w:r>
            <w:r>
              <w:rPr>
                <w:rFonts w:hint="eastAsia" w:ascii="宋体" w:hAnsi="宋体" w:eastAsia="宋体" w:cs="宋体"/>
                <w:b w:val="0"/>
                <w:bCs w:val="0"/>
                <w:sz w:val="21"/>
                <w:szCs w:val="21"/>
              </w:rPr>
              <w:t>；其他情况不得分。</w:t>
            </w:r>
          </w:p>
        </w:tc>
      </w:tr>
      <w:tr w14:paraId="0B52C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58AF9195">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19C3FE4E">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1A6E2F4E">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应急方案</w:t>
            </w:r>
          </w:p>
        </w:tc>
        <w:tc>
          <w:tcPr>
            <w:tcW w:w="681" w:type="dxa"/>
            <w:tcBorders>
              <w:top w:val="single" w:color="000000" w:sz="8" w:space="0"/>
              <w:left w:val="single" w:color="000000" w:sz="8" w:space="0"/>
              <w:bottom w:val="single" w:color="000000" w:sz="8" w:space="0"/>
              <w:right w:val="single" w:color="000000" w:sz="8" w:space="0"/>
            </w:tcBorders>
          </w:tcPr>
          <w:p w14:paraId="03E9766C">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4763" w:type="dxa"/>
            <w:tcBorders>
              <w:top w:val="single" w:color="000000" w:sz="8" w:space="0"/>
              <w:left w:val="single" w:color="000000" w:sz="8" w:space="0"/>
              <w:bottom w:val="single" w:color="000000" w:sz="8" w:space="0"/>
              <w:right w:val="single" w:color="000000" w:sz="8" w:space="0"/>
            </w:tcBorders>
          </w:tcPr>
          <w:p w14:paraId="340081CF">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2377170A">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考察投标人提供的应急方案，包括但不限于以下内容:</w:t>
            </w:r>
          </w:p>
          <w:p w14:paraId="377F9214">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（1）自然灾害应急预案；</w:t>
            </w:r>
          </w:p>
          <w:p w14:paraId="34719430">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（2）物流配送应急预案；</w:t>
            </w:r>
          </w:p>
          <w:p w14:paraId="201AF134">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（3）退货加单应急预案；</w:t>
            </w:r>
          </w:p>
          <w:p w14:paraId="77EBED9B">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（4）食品安全应急预案。</w:t>
            </w:r>
          </w:p>
          <w:p w14:paraId="460A2008">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p>
          <w:p w14:paraId="1E8A1159">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（二）评分标准：</w:t>
            </w:r>
          </w:p>
          <w:p w14:paraId="08DA3B59">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满足以上任意一点内容</w:t>
            </w:r>
            <w:r>
              <w:rPr>
                <w:rFonts w:hint="eastAsia" w:ascii="宋体" w:hAnsi="宋体" w:eastAsia="宋体" w:cs="宋体"/>
                <w:b w:val="0"/>
                <w:bCs w:val="0"/>
                <w:sz w:val="21"/>
                <w:szCs w:val="21"/>
                <w:lang w:val="en-US" w:eastAsia="zh-CN"/>
              </w:rPr>
              <w:t>17.5</w:t>
            </w:r>
            <w:r>
              <w:rPr>
                <w:rFonts w:hint="eastAsia" w:ascii="宋体" w:hAnsi="宋体" w:eastAsia="宋体" w:cs="宋体"/>
                <w:b w:val="0"/>
                <w:bCs w:val="0"/>
                <w:sz w:val="21"/>
                <w:szCs w:val="21"/>
              </w:rPr>
              <w:t>分，最高得</w:t>
            </w:r>
            <w:r>
              <w:rPr>
                <w:rFonts w:hint="eastAsia" w:ascii="宋体" w:hAnsi="宋体" w:eastAsia="宋体" w:cs="宋体"/>
                <w:b w:val="0"/>
                <w:bCs w:val="0"/>
                <w:sz w:val="21"/>
                <w:szCs w:val="21"/>
                <w:lang w:val="en-US" w:eastAsia="zh-CN"/>
              </w:rPr>
              <w:t>70</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其他情况不得分。在此基础上，由评审委员会对具休响应内容进一步评审：</w:t>
            </w:r>
          </w:p>
          <w:p w14:paraId="16CCC20D">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自然灾害应急预案</w:t>
            </w:r>
            <w:r>
              <w:rPr>
                <w:rFonts w:hint="eastAsia" w:ascii="宋体" w:hAnsi="宋体" w:eastAsia="宋体" w:cs="宋体"/>
                <w:b w:val="0"/>
                <w:bCs w:val="0"/>
                <w:sz w:val="21"/>
                <w:szCs w:val="21"/>
                <w:lang w:val="en-US" w:eastAsia="zh-CN"/>
              </w:rPr>
              <w:t>及</w:t>
            </w:r>
            <w:r>
              <w:rPr>
                <w:rFonts w:hint="eastAsia" w:ascii="宋体" w:hAnsi="宋体" w:eastAsia="宋体" w:cs="宋体"/>
                <w:b w:val="0"/>
                <w:bCs w:val="0"/>
                <w:sz w:val="21"/>
                <w:szCs w:val="21"/>
              </w:rPr>
              <w:t>物流配送应急预案</w:t>
            </w:r>
            <w:r>
              <w:rPr>
                <w:rFonts w:hint="eastAsia" w:ascii="宋体" w:hAnsi="宋体" w:eastAsia="宋体" w:cs="宋体"/>
                <w:b w:val="0"/>
                <w:bCs w:val="0"/>
                <w:sz w:val="21"/>
                <w:szCs w:val="21"/>
                <w:lang w:val="en-US" w:eastAsia="zh-CN"/>
              </w:rPr>
              <w:t>合计提供达到10条（项）及以上且内容符合项目特点</w:t>
            </w:r>
            <w:r>
              <w:rPr>
                <w:rFonts w:hint="eastAsia" w:ascii="宋体" w:hAnsi="宋体" w:eastAsia="宋体" w:cs="宋体"/>
                <w:b w:val="0"/>
                <w:bCs w:val="0"/>
                <w:sz w:val="21"/>
                <w:szCs w:val="21"/>
                <w:lang w:eastAsia="zh-CN"/>
              </w:rPr>
              <w:t>；</w:t>
            </w:r>
          </w:p>
          <w:p w14:paraId="0B54FBE1">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退货加单应急预案</w:t>
            </w:r>
            <w:r>
              <w:rPr>
                <w:rFonts w:hint="eastAsia" w:ascii="宋体" w:hAnsi="宋体" w:eastAsia="宋体" w:cs="宋体"/>
                <w:b w:val="0"/>
                <w:bCs w:val="0"/>
                <w:sz w:val="21"/>
                <w:szCs w:val="21"/>
                <w:lang w:val="en-US" w:eastAsia="zh-CN"/>
              </w:rPr>
              <w:t>及</w:t>
            </w:r>
            <w:r>
              <w:rPr>
                <w:rFonts w:hint="eastAsia" w:ascii="宋体" w:hAnsi="宋体" w:eastAsia="宋体" w:cs="宋体"/>
                <w:b w:val="0"/>
                <w:bCs w:val="0"/>
                <w:sz w:val="21"/>
                <w:szCs w:val="21"/>
              </w:rPr>
              <w:t>食品安全应急预案</w:t>
            </w:r>
            <w:r>
              <w:rPr>
                <w:rFonts w:hint="eastAsia" w:ascii="宋体" w:hAnsi="宋体" w:eastAsia="宋体" w:cs="宋体"/>
                <w:b w:val="0"/>
                <w:bCs w:val="0"/>
                <w:sz w:val="21"/>
                <w:szCs w:val="21"/>
                <w:lang w:val="en-US" w:eastAsia="zh-CN"/>
              </w:rPr>
              <w:t>合计提供达到10条（项）及以上且内容符合项目特点</w:t>
            </w:r>
            <w:r>
              <w:rPr>
                <w:rFonts w:hint="eastAsia" w:ascii="宋体" w:hAnsi="宋体" w:eastAsia="宋体" w:cs="宋体"/>
                <w:b w:val="0"/>
                <w:bCs w:val="0"/>
                <w:sz w:val="21"/>
                <w:szCs w:val="21"/>
                <w:lang w:eastAsia="zh-CN"/>
              </w:rPr>
              <w:t>；</w:t>
            </w:r>
          </w:p>
          <w:p w14:paraId="646BBAA7">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3.投标人提供的</w:t>
            </w:r>
            <w:r>
              <w:rPr>
                <w:rFonts w:hint="eastAsia" w:ascii="宋体" w:hAnsi="宋体" w:eastAsia="宋体" w:cs="宋体"/>
                <w:b w:val="0"/>
                <w:bCs w:val="0"/>
                <w:sz w:val="21"/>
                <w:szCs w:val="21"/>
              </w:rPr>
              <w:t>应急方案</w:t>
            </w:r>
            <w:r>
              <w:rPr>
                <w:rFonts w:hint="eastAsia" w:ascii="宋体" w:hAnsi="宋体" w:eastAsia="宋体" w:cs="宋体"/>
                <w:b w:val="0"/>
                <w:bCs w:val="0"/>
                <w:sz w:val="21"/>
                <w:szCs w:val="21"/>
                <w:lang w:val="en-US" w:eastAsia="zh-CN"/>
              </w:rPr>
              <w:t>内容</w:t>
            </w:r>
            <w:r>
              <w:rPr>
                <w:rFonts w:hint="eastAsia" w:ascii="宋体" w:hAnsi="宋体" w:eastAsia="宋体" w:cs="宋体"/>
                <w:b w:val="0"/>
                <w:bCs w:val="0"/>
                <w:sz w:val="21"/>
                <w:szCs w:val="21"/>
              </w:rPr>
              <w:t>满足</w:t>
            </w:r>
            <w:r>
              <w:rPr>
                <w:rFonts w:hint="eastAsia" w:ascii="宋体" w:hAnsi="宋体" w:eastAsia="宋体" w:cs="宋体"/>
                <w:b w:val="0"/>
                <w:bCs w:val="0"/>
                <w:sz w:val="21"/>
                <w:szCs w:val="21"/>
                <w:lang w:val="en-US" w:eastAsia="zh-CN"/>
              </w:rPr>
              <w:t>项目需求且</w:t>
            </w:r>
            <w:r>
              <w:rPr>
                <w:rFonts w:hint="eastAsia" w:ascii="宋体" w:hAnsi="宋体" w:eastAsia="宋体" w:cs="宋体"/>
                <w:b w:val="0"/>
                <w:bCs w:val="0"/>
                <w:sz w:val="21"/>
                <w:szCs w:val="21"/>
              </w:rPr>
              <w:t>与实际情况</w:t>
            </w:r>
            <w:r>
              <w:rPr>
                <w:rFonts w:hint="eastAsia" w:ascii="宋体" w:hAnsi="宋体" w:eastAsia="宋体" w:cs="宋体"/>
                <w:b w:val="0"/>
                <w:bCs w:val="0"/>
                <w:sz w:val="21"/>
                <w:szCs w:val="21"/>
                <w:lang w:val="en-US" w:eastAsia="zh-CN"/>
              </w:rPr>
              <w:t>相符</w:t>
            </w:r>
            <w:r>
              <w:rPr>
                <w:rFonts w:hint="eastAsia" w:ascii="宋体" w:hAnsi="宋体" w:eastAsia="宋体" w:cs="宋体"/>
                <w:b w:val="0"/>
                <w:bCs w:val="0"/>
                <w:sz w:val="21"/>
                <w:szCs w:val="21"/>
                <w:lang w:eastAsia="zh-CN"/>
              </w:rPr>
              <w:t>。</w:t>
            </w:r>
          </w:p>
          <w:p w14:paraId="4A388125">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满足</w:t>
            </w:r>
            <w:r>
              <w:rPr>
                <w:rFonts w:hint="eastAsia" w:ascii="宋体" w:hAnsi="宋体" w:eastAsia="宋体" w:cs="宋体"/>
                <w:b w:val="0"/>
                <w:bCs w:val="0"/>
                <w:sz w:val="21"/>
                <w:szCs w:val="21"/>
              </w:rPr>
              <w:t>以上三项内容</w:t>
            </w:r>
            <w:r>
              <w:rPr>
                <w:rFonts w:hint="eastAsia" w:ascii="宋体" w:hAnsi="宋体" w:eastAsia="宋体" w:cs="宋体"/>
                <w:b w:val="0"/>
                <w:bCs w:val="0"/>
                <w:sz w:val="21"/>
                <w:szCs w:val="21"/>
                <w:lang w:val="en-US" w:eastAsia="zh-CN"/>
              </w:rPr>
              <w:t>加30</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val="en-US" w:eastAsia="zh-CN"/>
              </w:rPr>
              <w:t>满足</w:t>
            </w:r>
            <w:r>
              <w:rPr>
                <w:rFonts w:hint="eastAsia" w:ascii="宋体" w:hAnsi="宋体" w:eastAsia="宋体" w:cs="宋体"/>
                <w:b w:val="0"/>
                <w:bCs w:val="0"/>
                <w:sz w:val="21"/>
                <w:szCs w:val="21"/>
              </w:rPr>
              <w:t>以上二项内容</w:t>
            </w:r>
            <w:r>
              <w:rPr>
                <w:rFonts w:hint="eastAsia" w:ascii="宋体" w:hAnsi="宋体" w:eastAsia="宋体" w:cs="宋体"/>
                <w:b w:val="0"/>
                <w:bCs w:val="0"/>
                <w:sz w:val="21"/>
                <w:szCs w:val="21"/>
                <w:lang w:val="en-US" w:eastAsia="zh-CN"/>
              </w:rPr>
              <w:t>加20</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val="en-US" w:eastAsia="zh-CN"/>
              </w:rPr>
              <w:t>满足</w:t>
            </w:r>
            <w:r>
              <w:rPr>
                <w:rFonts w:hint="eastAsia" w:ascii="宋体" w:hAnsi="宋体" w:eastAsia="宋体" w:cs="宋体"/>
                <w:b w:val="0"/>
                <w:bCs w:val="0"/>
                <w:sz w:val="21"/>
                <w:szCs w:val="21"/>
              </w:rPr>
              <w:t>以上一项内容</w:t>
            </w:r>
            <w:r>
              <w:rPr>
                <w:rFonts w:hint="eastAsia" w:ascii="宋体" w:hAnsi="宋体" w:eastAsia="宋体" w:cs="宋体"/>
                <w:b w:val="0"/>
                <w:bCs w:val="0"/>
                <w:sz w:val="21"/>
                <w:szCs w:val="21"/>
                <w:lang w:val="en-US" w:eastAsia="zh-CN"/>
              </w:rPr>
              <w:t>加10分</w:t>
            </w:r>
            <w:r>
              <w:rPr>
                <w:rFonts w:hint="eastAsia" w:ascii="宋体" w:hAnsi="宋体" w:eastAsia="宋体" w:cs="宋体"/>
                <w:b w:val="0"/>
                <w:bCs w:val="0"/>
                <w:sz w:val="21"/>
                <w:szCs w:val="21"/>
              </w:rPr>
              <w:t>；其他情况不得分。</w:t>
            </w:r>
          </w:p>
        </w:tc>
      </w:tr>
      <w:tr w14:paraId="0CD087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5192F604">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4108E01F">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2835" w:type="dxa"/>
            <w:tcBorders>
              <w:top w:val="single" w:color="000000" w:sz="8" w:space="0"/>
              <w:left w:val="single" w:color="000000" w:sz="8" w:space="0"/>
              <w:bottom w:val="single" w:color="000000" w:sz="8" w:space="0"/>
              <w:right w:val="single" w:color="000000" w:sz="8" w:space="0"/>
            </w:tcBorders>
          </w:tcPr>
          <w:p w14:paraId="0283D75B">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检验检测报告</w:t>
            </w:r>
          </w:p>
        </w:tc>
        <w:tc>
          <w:tcPr>
            <w:tcW w:w="681" w:type="dxa"/>
            <w:tcBorders>
              <w:top w:val="single" w:color="000000" w:sz="8" w:space="0"/>
              <w:left w:val="single" w:color="000000" w:sz="8" w:space="0"/>
              <w:bottom w:val="single" w:color="000000" w:sz="8" w:space="0"/>
              <w:right w:val="single" w:color="000000" w:sz="8" w:space="0"/>
            </w:tcBorders>
          </w:tcPr>
          <w:p w14:paraId="21822ADE">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7</w:t>
            </w:r>
          </w:p>
        </w:tc>
        <w:tc>
          <w:tcPr>
            <w:tcW w:w="4763" w:type="dxa"/>
            <w:tcBorders>
              <w:top w:val="single" w:color="000000" w:sz="8" w:space="0"/>
              <w:left w:val="single" w:color="000000" w:sz="8" w:space="0"/>
              <w:bottom w:val="single" w:color="000000" w:sz="8" w:space="0"/>
              <w:right w:val="single" w:color="000000" w:sz="8" w:space="0"/>
            </w:tcBorders>
          </w:tcPr>
          <w:p w14:paraId="6C2F9EA1">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664A7322">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提供2024年1月1日至本项目投标截止日任意3个月由具有CNAS或CMA认证资质的第三方检测机构出具有CMA或CNAS认证标志且结论为合格或限值内或达标或同等描述的禽类、蔬菜类、鲜肉类、冻品类、水产品类、乳制品类、蛋类、食用油类、大米类、干货类、调味品类、豆制品类、面制品类（或面粉类）以及水果类的检测报告情况：</w:t>
            </w:r>
          </w:p>
          <w:p w14:paraId="1582BA00">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（1）以上各种类检测报告要求检测项目具有8个或以上；</w:t>
            </w:r>
          </w:p>
          <w:p w14:paraId="30DCAE09">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投标人每提供以上1类（总共14类）符合要求的品种检测报告（每一类每个月至少提供一份，即三个月共提供三份检测报告）得7.15分，最高得100分（重复类别检测报告不重复计分，一个检测种类同一月份提供多份检测报告的，不重复计算）。</w:t>
            </w:r>
          </w:p>
          <w:p w14:paraId="40BE8B77">
            <w:pPr>
              <w:pStyle w:val="19"/>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p>
          <w:p w14:paraId="1DDBFC94">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kern w:val="0"/>
                <w:sz w:val="21"/>
                <w:szCs w:val="21"/>
              </w:rPr>
              <w:t>（二）评分依据：</w:t>
            </w:r>
          </w:p>
          <w:p w14:paraId="03343608">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提供具有在检验检测机构资质认定证书规定能力范围内出具的带合格或者达标等同等意义表述的检验检测报告（带有CNAS或CMA认证标志），报告委托单位须为投标人；如供应商为新成立单位且成立时间不足三个月的，可提供加盖公章的情况说明或者证明材料，并提供自成立以来每个月符合要求的检测报告亦视为符合</w:t>
            </w:r>
            <w:r>
              <w:rPr>
                <w:rFonts w:hint="eastAsia" w:ascii="宋体" w:hAnsi="宋体" w:cs="宋体"/>
                <w:b w:val="0"/>
                <w:bCs w:val="0"/>
                <w:sz w:val="21"/>
                <w:szCs w:val="21"/>
                <w:lang w:eastAsia="zh-CN"/>
              </w:rPr>
              <w:t>；</w:t>
            </w:r>
          </w:p>
          <w:p w14:paraId="321D22CD">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2.提供检测报告查询截图</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检测报告应在检测机构官网或者全国认证认可信息公共服务平台（http://cx.cnca.cn）上进行查询且编号一致</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否则不予认可</w:t>
            </w:r>
            <w:r>
              <w:rPr>
                <w:rFonts w:hint="eastAsia" w:ascii="宋体" w:hAnsi="宋体" w:cs="宋体"/>
                <w:b w:val="0"/>
                <w:bCs w:val="0"/>
                <w:sz w:val="21"/>
                <w:szCs w:val="21"/>
                <w:lang w:eastAsia="zh-CN"/>
              </w:rPr>
              <w:t>；</w:t>
            </w:r>
          </w:p>
          <w:p w14:paraId="3AC6EC6D">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3.提供以上证明文件扫描件，如涉及网站截图或照片等证明材料,需提供清晰图片,原件备查。未按要求提供有效证明材料或提供不清晰导致评委无法识别的不计得分。</w:t>
            </w:r>
          </w:p>
        </w:tc>
      </w:tr>
      <w:tr w14:paraId="6A8DDB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64E494E7">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7B87E0C5">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835" w:type="dxa"/>
            <w:tcBorders>
              <w:top w:val="single" w:color="000000" w:sz="8" w:space="0"/>
              <w:left w:val="single" w:color="000000" w:sz="8" w:space="0"/>
              <w:bottom w:val="single" w:color="000000" w:sz="8" w:space="0"/>
              <w:right w:val="single" w:color="000000" w:sz="8" w:space="0"/>
            </w:tcBorders>
          </w:tcPr>
          <w:p w14:paraId="219BFF60">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保险情况</w:t>
            </w:r>
          </w:p>
        </w:tc>
        <w:tc>
          <w:tcPr>
            <w:tcW w:w="681" w:type="dxa"/>
            <w:tcBorders>
              <w:top w:val="single" w:color="000000" w:sz="8" w:space="0"/>
              <w:left w:val="single" w:color="000000" w:sz="8" w:space="0"/>
              <w:bottom w:val="single" w:color="000000" w:sz="8" w:space="0"/>
              <w:right w:val="single" w:color="000000" w:sz="8" w:space="0"/>
            </w:tcBorders>
          </w:tcPr>
          <w:p w14:paraId="65663EF5">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7</w:t>
            </w:r>
          </w:p>
        </w:tc>
        <w:tc>
          <w:tcPr>
            <w:tcW w:w="4763" w:type="dxa"/>
            <w:tcBorders>
              <w:top w:val="single" w:color="000000" w:sz="8" w:space="0"/>
              <w:left w:val="single" w:color="000000" w:sz="8" w:space="0"/>
              <w:bottom w:val="single" w:color="000000" w:sz="8" w:space="0"/>
              <w:right w:val="single" w:color="000000" w:sz="8" w:space="0"/>
            </w:tcBorders>
          </w:tcPr>
          <w:p w14:paraId="6D6D5769">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2C8C6FE3">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1.投标人的食品安全保险购置情况（50分）：</w:t>
            </w:r>
          </w:p>
          <w:p w14:paraId="77ADFBFE">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（1）年总保额≥</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亿元的，得50分；</w:t>
            </w:r>
          </w:p>
          <w:p w14:paraId="05C5C780">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0.5</w:t>
            </w:r>
            <w:r>
              <w:rPr>
                <w:rFonts w:hint="eastAsia" w:ascii="宋体" w:hAnsi="宋体" w:eastAsia="宋体" w:cs="宋体"/>
                <w:b w:val="0"/>
                <w:bCs w:val="0"/>
                <w:sz w:val="21"/>
                <w:szCs w:val="21"/>
              </w:rPr>
              <w:t>亿元≤年总保额＜</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亿元的，得30分；</w:t>
            </w:r>
          </w:p>
          <w:p w14:paraId="0BA4964D">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0.1</w:t>
            </w:r>
            <w:r>
              <w:rPr>
                <w:rFonts w:hint="eastAsia" w:ascii="宋体" w:hAnsi="宋体" w:eastAsia="宋体" w:cs="宋体"/>
                <w:b w:val="0"/>
                <w:bCs w:val="0"/>
                <w:sz w:val="21"/>
                <w:szCs w:val="21"/>
              </w:rPr>
              <w:t>亿元≤年总保额＜</w:t>
            </w:r>
            <w:r>
              <w:rPr>
                <w:rFonts w:hint="eastAsia" w:ascii="宋体" w:hAnsi="宋体" w:eastAsia="宋体" w:cs="宋体"/>
                <w:b w:val="0"/>
                <w:bCs w:val="0"/>
                <w:sz w:val="21"/>
                <w:szCs w:val="21"/>
                <w:lang w:val="en-US" w:eastAsia="zh-CN"/>
              </w:rPr>
              <w:t>0.5</w:t>
            </w:r>
            <w:r>
              <w:rPr>
                <w:rFonts w:hint="eastAsia" w:ascii="宋体" w:hAnsi="宋体" w:eastAsia="宋体" w:cs="宋体"/>
                <w:b w:val="0"/>
                <w:bCs w:val="0"/>
                <w:sz w:val="21"/>
                <w:szCs w:val="21"/>
              </w:rPr>
              <w:t>亿元的，得10分；</w:t>
            </w:r>
          </w:p>
          <w:p w14:paraId="303E9D30">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（4）其他情况不得分。</w:t>
            </w:r>
          </w:p>
          <w:p w14:paraId="38BCE0B3">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2.投标人的相关公众责任险购置情况（50分）：</w:t>
            </w:r>
          </w:p>
          <w:p w14:paraId="62DB1C9F">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（1）年总保额≥</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亿元的，得50分；</w:t>
            </w:r>
          </w:p>
          <w:p w14:paraId="16907C75">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0.5</w:t>
            </w:r>
            <w:r>
              <w:rPr>
                <w:rFonts w:hint="eastAsia" w:ascii="宋体" w:hAnsi="宋体" w:eastAsia="宋体" w:cs="宋体"/>
                <w:b w:val="0"/>
                <w:bCs w:val="0"/>
                <w:sz w:val="21"/>
                <w:szCs w:val="21"/>
              </w:rPr>
              <w:t>亿元≤年总保额＜</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亿元的，得30分；</w:t>
            </w:r>
          </w:p>
          <w:p w14:paraId="67171B5B">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0.1</w:t>
            </w:r>
            <w:r>
              <w:rPr>
                <w:rFonts w:hint="eastAsia" w:ascii="宋体" w:hAnsi="宋体" w:eastAsia="宋体" w:cs="宋体"/>
                <w:b w:val="0"/>
                <w:bCs w:val="0"/>
                <w:sz w:val="21"/>
                <w:szCs w:val="21"/>
              </w:rPr>
              <w:t>亿元≤年总保额＜</w:t>
            </w:r>
            <w:r>
              <w:rPr>
                <w:rFonts w:hint="eastAsia" w:ascii="宋体" w:hAnsi="宋体" w:eastAsia="宋体" w:cs="宋体"/>
                <w:b w:val="0"/>
                <w:bCs w:val="0"/>
                <w:sz w:val="21"/>
                <w:szCs w:val="21"/>
                <w:lang w:val="en-US" w:eastAsia="zh-CN"/>
              </w:rPr>
              <w:t>0.5</w:t>
            </w:r>
            <w:r>
              <w:rPr>
                <w:rFonts w:hint="eastAsia" w:ascii="宋体" w:hAnsi="宋体" w:eastAsia="宋体" w:cs="宋体"/>
                <w:b w:val="0"/>
                <w:bCs w:val="0"/>
                <w:sz w:val="21"/>
                <w:szCs w:val="21"/>
              </w:rPr>
              <w:t>亿元的，得10分；</w:t>
            </w:r>
          </w:p>
          <w:p w14:paraId="56947683">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（4）其他情况不得分。</w:t>
            </w:r>
          </w:p>
          <w:p w14:paraId="62B6BBCA">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注：保额可通过单份或多份保单累计，以上2项累加计分，最高得100分。</w:t>
            </w:r>
          </w:p>
          <w:p w14:paraId="5DFAC85C">
            <w:pPr>
              <w:pStyle w:val="19"/>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p>
          <w:p w14:paraId="7A9A9F2C">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kern w:val="0"/>
                <w:sz w:val="21"/>
                <w:szCs w:val="21"/>
              </w:rPr>
              <w:t>（二）评分依据：</w:t>
            </w:r>
          </w:p>
          <w:p w14:paraId="537112CD">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1.提供购买有效期内的食品安全责任险和公众责任险投保单（或保险合同）及发票作为得分依据；</w:t>
            </w:r>
          </w:p>
          <w:p w14:paraId="14D4F76C">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2.提供以上证明文件扫描件，如涉及网站截图或照片等证明材料,需提供清晰图片,原件备查。未按要求提供有效证明材料或提供不清晰导致评委无法识别的不计得分。</w:t>
            </w:r>
          </w:p>
        </w:tc>
      </w:tr>
      <w:tr w14:paraId="126C3D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2CA04812">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6F1AE775">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2835" w:type="dxa"/>
            <w:tcBorders>
              <w:top w:val="single" w:color="000000" w:sz="8" w:space="0"/>
              <w:left w:val="single" w:color="000000" w:sz="8" w:space="0"/>
              <w:bottom w:val="single" w:color="000000" w:sz="8" w:space="0"/>
              <w:right w:val="single" w:color="000000" w:sz="8" w:space="0"/>
            </w:tcBorders>
          </w:tcPr>
          <w:p w14:paraId="75FEE3FD">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拟安排的项目负责人情况（仅限1人）</w:t>
            </w:r>
          </w:p>
        </w:tc>
        <w:tc>
          <w:tcPr>
            <w:tcW w:w="681" w:type="dxa"/>
            <w:tcBorders>
              <w:top w:val="single" w:color="000000" w:sz="8" w:space="0"/>
              <w:left w:val="single" w:color="000000" w:sz="8" w:space="0"/>
              <w:bottom w:val="single" w:color="000000" w:sz="8" w:space="0"/>
              <w:right w:val="single" w:color="000000" w:sz="8" w:space="0"/>
            </w:tcBorders>
          </w:tcPr>
          <w:p w14:paraId="6F39F8AB">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p>
        </w:tc>
        <w:tc>
          <w:tcPr>
            <w:tcW w:w="4763" w:type="dxa"/>
            <w:tcBorders>
              <w:top w:val="single" w:color="000000" w:sz="8" w:space="0"/>
              <w:left w:val="single" w:color="000000" w:sz="8" w:space="0"/>
              <w:bottom w:val="single" w:color="000000" w:sz="8" w:space="0"/>
              <w:right w:val="single" w:color="000000" w:sz="8" w:space="0"/>
            </w:tcBorders>
          </w:tcPr>
          <w:p w14:paraId="3B0FBE26">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1D1293AF">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拟安排的项目负责人(仅限1人）需为投标人正式聘任员工，否则本项不得分。在此基础上，按以下标准评分：</w:t>
            </w:r>
          </w:p>
          <w:p w14:paraId="6E57AC7F">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（1）具有国家食品药品监督管理部门或市场监督管理部门颁发的高级食品安全管理员证书或同等级的食品安全管理员考试合格证明的，得</w:t>
            </w:r>
            <w:r>
              <w:rPr>
                <w:rFonts w:hint="eastAsia" w:ascii="宋体" w:hAnsi="宋体" w:eastAsia="宋体" w:cs="宋体"/>
                <w:b w:val="0"/>
                <w:bCs w:val="0"/>
                <w:sz w:val="21"/>
                <w:szCs w:val="21"/>
                <w:lang w:val="en-US" w:eastAsia="zh-CN"/>
              </w:rPr>
              <w:t>30</w:t>
            </w:r>
            <w:r>
              <w:rPr>
                <w:rFonts w:hint="eastAsia" w:ascii="宋体" w:hAnsi="宋体" w:eastAsia="宋体" w:cs="宋体"/>
                <w:b w:val="0"/>
                <w:bCs w:val="0"/>
                <w:sz w:val="21"/>
                <w:szCs w:val="21"/>
              </w:rPr>
              <w:t>分；</w:t>
            </w:r>
          </w:p>
          <w:p w14:paraId="1EC3FE21">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（2）具有行政机关或事业单位或经人社部门备案的行业协会（或经人社部门备案的第三方社会评价组织）颁发的农产品食品检验员证书或食品检验工（员）证书（一级/高级技师得</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0分，二级/技师得</w:t>
            </w:r>
            <w:r>
              <w:rPr>
                <w:rFonts w:hint="eastAsia" w:ascii="宋体" w:hAnsi="宋体" w:eastAsia="宋体" w:cs="宋体"/>
                <w:b w:val="0"/>
                <w:bCs w:val="0"/>
                <w:sz w:val="21"/>
                <w:szCs w:val="21"/>
                <w:lang w:val="en-US" w:eastAsia="zh-CN"/>
              </w:rPr>
              <w:t>25</w:t>
            </w:r>
            <w:r>
              <w:rPr>
                <w:rFonts w:hint="eastAsia" w:ascii="宋体" w:hAnsi="宋体" w:eastAsia="宋体" w:cs="宋体"/>
                <w:b w:val="0"/>
                <w:bCs w:val="0"/>
                <w:sz w:val="21"/>
                <w:szCs w:val="21"/>
              </w:rPr>
              <w:t>分，三级/高级得</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分，其他情况不得分），本小项最高得</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0分；</w:t>
            </w:r>
          </w:p>
          <w:p w14:paraId="1BBE9A41">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）具有本科或以上学历的，得</w:t>
            </w:r>
            <w:r>
              <w:rPr>
                <w:rFonts w:hint="eastAsia" w:ascii="宋体" w:hAnsi="宋体" w:eastAsia="宋体" w:cs="宋体"/>
                <w:b w:val="0"/>
                <w:bCs w:val="0"/>
                <w:sz w:val="21"/>
                <w:szCs w:val="21"/>
                <w:lang w:val="en-US" w:eastAsia="zh-CN"/>
              </w:rPr>
              <w:t>30</w:t>
            </w:r>
            <w:r>
              <w:rPr>
                <w:rFonts w:hint="eastAsia" w:ascii="宋体" w:hAnsi="宋体" w:eastAsia="宋体" w:cs="宋体"/>
                <w:b w:val="0"/>
                <w:bCs w:val="0"/>
                <w:sz w:val="21"/>
                <w:szCs w:val="21"/>
              </w:rPr>
              <w:t>分。</w:t>
            </w:r>
          </w:p>
          <w:p w14:paraId="06E6A993">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注：以上</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项累计最高得100分。</w:t>
            </w:r>
          </w:p>
          <w:p w14:paraId="5D1C3F5A">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p>
          <w:p w14:paraId="2A948489">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（二）评分依据：</w:t>
            </w:r>
          </w:p>
          <w:p w14:paraId="5A56A632">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1.提供项目负责人通过投标单位缴纳的载有社保部门或税务部门公章的近三个月（2024年</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月-2024年</w:t>
            </w: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月）内任意一个月的个人社保证明，如供应商为新成立单位且成立时间不足一个月的，可提供加盖公章的情况说明，无需提供相关人员社保，亦视为符合；如为退休返聘人员则提供劳动合同或返聘协议，亦视为符合；</w:t>
            </w:r>
          </w:p>
          <w:p w14:paraId="38D558EF">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2.评分内容第（1）项要求同时提供：①相对应的证书；②该证书在官方网站查询截图或</w:t>
            </w:r>
            <w:r>
              <w:rPr>
                <w:rFonts w:hint="eastAsia" w:ascii="宋体" w:hAnsi="宋体" w:eastAsia="宋体" w:cs="宋体"/>
                <w:b w:val="0"/>
                <w:bCs w:val="0"/>
                <w:sz w:val="21"/>
                <w:szCs w:val="21"/>
                <w:lang w:val="en-US" w:eastAsia="zh-CN"/>
              </w:rPr>
              <w:t>手机APP或</w:t>
            </w:r>
            <w:r>
              <w:rPr>
                <w:rFonts w:hint="eastAsia" w:ascii="宋体" w:hAnsi="宋体" w:eastAsia="宋体" w:cs="宋体"/>
                <w:b w:val="0"/>
                <w:bCs w:val="0"/>
                <w:sz w:val="21"/>
                <w:szCs w:val="21"/>
              </w:rPr>
              <w:t>粤省事查询截图（“粤省事”-“办事”-“食品安全”-“食安员查证及考核”-“我的食安员证”）；</w:t>
            </w:r>
          </w:p>
          <w:p w14:paraId="22007350">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3.评分内容第（2）要求同时提供：①相对应的证书；②提供证书在技能人才评价证书全国联网查询截图（http://zscx.osta.org.cn）</w:t>
            </w:r>
            <w:r>
              <w:rPr>
                <w:rFonts w:hint="eastAsia" w:ascii="宋体" w:hAnsi="宋体" w:eastAsia="宋体" w:cs="宋体"/>
                <w:b w:val="0"/>
                <w:bCs w:val="0"/>
                <w:sz w:val="21"/>
                <w:szCs w:val="21"/>
                <w:lang w:eastAsia="zh-CN"/>
              </w:rPr>
              <w:t>；若人员证书为协会颁发的，则还需同时提供该协会在全国社会组织信用信息公示平台（网址https://xxgs.chinanpo.mca.gov.cn)的查询“正常”页面截图</w:t>
            </w:r>
            <w:r>
              <w:rPr>
                <w:rFonts w:hint="eastAsia" w:ascii="宋体" w:hAnsi="宋体" w:eastAsia="宋体" w:cs="宋体"/>
                <w:b w:val="0"/>
                <w:bCs w:val="0"/>
                <w:sz w:val="21"/>
                <w:szCs w:val="21"/>
              </w:rPr>
              <w:t>，否则不予认可，视为无效证书</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若</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农产品食品检验员证书</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是由评价机构（或行业协会）发证的，还需</w:t>
            </w:r>
            <w:r>
              <w:rPr>
                <w:rFonts w:hint="eastAsia" w:ascii="宋体" w:hAnsi="宋体" w:eastAsia="宋体" w:cs="宋体"/>
                <w:b w:val="0"/>
                <w:bCs w:val="0"/>
                <w:sz w:val="21"/>
                <w:szCs w:val="21"/>
                <w:lang w:eastAsia="zh-CN"/>
              </w:rPr>
              <w:t>同时</w:t>
            </w:r>
            <w:r>
              <w:rPr>
                <w:rFonts w:hint="eastAsia" w:ascii="宋体" w:hAnsi="宋体" w:eastAsia="宋体" w:cs="宋体"/>
                <w:b w:val="0"/>
                <w:bCs w:val="0"/>
                <w:sz w:val="21"/>
                <w:szCs w:val="21"/>
              </w:rPr>
              <w:t>提供该评价机构（或行业协会）在职业技能等级评价机构公示查询系统（http://pjjg.osta.org.cn/）的备案查询截图，截图需体现该评价机构（或行业协会）可开展职业技能等级认定的职业（工种）包含</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农产品食品检验员</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，否则不予认可，视为无效证书</w:t>
            </w:r>
            <w:r>
              <w:rPr>
                <w:rFonts w:hint="eastAsia" w:ascii="宋体" w:hAnsi="宋体" w:eastAsia="宋体" w:cs="宋体"/>
                <w:b w:val="0"/>
                <w:bCs w:val="0"/>
                <w:sz w:val="21"/>
                <w:szCs w:val="21"/>
                <w:lang w:eastAsia="zh-CN"/>
              </w:rPr>
              <w:t>；</w:t>
            </w:r>
          </w:p>
          <w:p w14:paraId="5CA476DF">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.评分内容第（</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项提供提供学历证书以及中国高等教育学生信息网（学信网）（https://www.chsi.com.cn）学历查询截图（对于较早颁发的学历证书，学信网无法查询的，除要求提供学历证书外，还须提供其他佐证材料如毕业院校、人社部门等颁发机构或监管机构等出具的证明）。学历证书如为境外颁发的，则须提供学历证书和中华人民共和国教育部留学服务中心认证的《国外学历学位认证书》作为得分依据；</w:t>
            </w:r>
          </w:p>
          <w:p w14:paraId="4A5F8A41">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.提供以上证明文件扫描件，如涉及网站截图或照片等证明材料,需提供清晰图片,原件备查。未按要求提供有效证明材料或提供不清晰导致评委无法识别的不计得分。</w:t>
            </w:r>
          </w:p>
        </w:tc>
      </w:tr>
      <w:tr w14:paraId="4AA179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46BFB6A0">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44449181">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7</w:t>
            </w:r>
          </w:p>
        </w:tc>
        <w:tc>
          <w:tcPr>
            <w:tcW w:w="2835" w:type="dxa"/>
            <w:tcBorders>
              <w:top w:val="single" w:color="000000" w:sz="8" w:space="0"/>
              <w:left w:val="single" w:color="000000" w:sz="8" w:space="0"/>
              <w:bottom w:val="single" w:color="000000" w:sz="8" w:space="0"/>
              <w:right w:val="single" w:color="000000" w:sz="8" w:space="0"/>
            </w:tcBorders>
          </w:tcPr>
          <w:p w14:paraId="7AA86565">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拟安排的项目主要团队成员（主要技术人员）情况（项目负责人除外）</w:t>
            </w:r>
          </w:p>
        </w:tc>
        <w:tc>
          <w:tcPr>
            <w:tcW w:w="681" w:type="dxa"/>
            <w:tcBorders>
              <w:top w:val="single" w:color="000000" w:sz="8" w:space="0"/>
              <w:left w:val="single" w:color="000000" w:sz="8" w:space="0"/>
              <w:bottom w:val="single" w:color="000000" w:sz="8" w:space="0"/>
              <w:right w:val="single" w:color="000000" w:sz="8" w:space="0"/>
            </w:tcBorders>
          </w:tcPr>
          <w:p w14:paraId="78DD9FFA">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4763" w:type="dxa"/>
            <w:tcBorders>
              <w:top w:val="single" w:color="000000" w:sz="8" w:space="0"/>
              <w:left w:val="single" w:color="000000" w:sz="8" w:space="0"/>
              <w:bottom w:val="single" w:color="000000" w:sz="8" w:space="0"/>
              <w:right w:val="single" w:color="000000" w:sz="8" w:space="0"/>
            </w:tcBorders>
          </w:tcPr>
          <w:p w14:paraId="1CC006C7">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63783CFD">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拟安排的项目团队成员（项目负责人除外）需为投标人正式聘任员工，否则本项不得分。在此基础上，按以下标准评分：</w:t>
            </w:r>
          </w:p>
          <w:p w14:paraId="7D53766B">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（1）具有食品药品监督管理部门或市场监督管理部门颁发的食品安全管理员证书（或食品安全管理员培训考核合格证明）的，每提供1人得</w:t>
            </w:r>
            <w:r>
              <w:rPr>
                <w:rFonts w:hint="eastAsia" w:ascii="宋体" w:hAnsi="宋体" w:eastAsia="宋体" w:cs="宋体"/>
                <w:b w:val="0"/>
                <w:bCs w:val="0"/>
                <w:kern w:val="0"/>
                <w:sz w:val="21"/>
                <w:szCs w:val="21"/>
                <w:lang w:val="en-US" w:eastAsia="zh-CN"/>
              </w:rPr>
              <w:t>25</w:t>
            </w:r>
            <w:r>
              <w:rPr>
                <w:rFonts w:hint="eastAsia" w:ascii="宋体" w:hAnsi="宋体" w:eastAsia="宋体" w:cs="宋体"/>
                <w:b w:val="0"/>
                <w:bCs w:val="0"/>
                <w:kern w:val="0"/>
                <w:sz w:val="21"/>
                <w:szCs w:val="21"/>
              </w:rPr>
              <w:t>分，本项最高得</w:t>
            </w: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0分；</w:t>
            </w:r>
          </w:p>
          <w:p w14:paraId="285D851E">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b w:val="0"/>
                <w:bCs w:val="0"/>
                <w:kern w:val="0"/>
                <w:sz w:val="21"/>
                <w:szCs w:val="21"/>
                <w:highlight w:val="yellow"/>
              </w:rPr>
            </w:pPr>
            <w:r>
              <w:rPr>
                <w:rFonts w:hint="eastAsia" w:ascii="宋体" w:hAnsi="宋体" w:eastAsia="宋体" w:cs="宋体"/>
                <w:b w:val="0"/>
                <w:bCs w:val="0"/>
                <w:kern w:val="0"/>
                <w:sz w:val="21"/>
                <w:szCs w:val="21"/>
              </w:rPr>
              <w:t>（2）项目团队成员每提供1人具有行政机关或事业单位或经人社部门备案的行业协会（或经人社部门备案的第三方社会评价组织）颁发的农产品食品检验员证书或食品检验工（员）证书的，其中一级/高级技师得30分，二级/技师得15分，三级/高级得5分，其他情况不得分，本小项最高得</w:t>
            </w: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0分</w:t>
            </w:r>
            <w:r>
              <w:rPr>
                <w:rFonts w:hint="eastAsia" w:ascii="宋体" w:hAnsi="宋体" w:eastAsia="宋体" w:cs="宋体"/>
                <w:b w:val="0"/>
                <w:bCs w:val="0"/>
                <w:kern w:val="0"/>
                <w:sz w:val="21"/>
                <w:szCs w:val="21"/>
                <w:lang w:eastAsia="zh-CN"/>
              </w:rPr>
              <w:t>。</w:t>
            </w:r>
          </w:p>
          <w:p w14:paraId="30D739B4">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注：同1个人员具备多项证书的，不累加计分，本项最高得100分。</w:t>
            </w:r>
          </w:p>
          <w:p w14:paraId="55454B02">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b w:val="0"/>
                <w:bCs w:val="0"/>
                <w:kern w:val="0"/>
                <w:sz w:val="21"/>
                <w:szCs w:val="21"/>
              </w:rPr>
            </w:pPr>
          </w:p>
          <w:p w14:paraId="0F54ECBC">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（二）评分依据：</w:t>
            </w:r>
          </w:p>
          <w:p w14:paraId="775BC0C1">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1.提供项目主要团队成员通过投标单位缴纳的载有社保部门或税务部门公章的近三个月（2024年</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月-2024年</w:t>
            </w: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月）内任意一个月的个人社保证明，如供应商为新成立单位且成立时间不足一个月的，可提供加盖公章的情况说明，无需提供相关人员社保，亦视为符合；如为退休返聘人员则提供劳动合同或返聘协议，亦视为符合；</w:t>
            </w:r>
          </w:p>
          <w:p w14:paraId="1CE869B0">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2.评分内容第（1）项要求同时提供：①相对应的证书；②该证书在官方网站查询截图或</w:t>
            </w:r>
            <w:r>
              <w:rPr>
                <w:rFonts w:hint="eastAsia" w:ascii="宋体" w:hAnsi="宋体" w:eastAsia="宋体" w:cs="宋体"/>
                <w:b w:val="0"/>
                <w:bCs w:val="0"/>
                <w:sz w:val="21"/>
                <w:szCs w:val="21"/>
                <w:lang w:val="en-US" w:eastAsia="zh-CN"/>
              </w:rPr>
              <w:t>手机APP</w:t>
            </w:r>
            <w:r>
              <w:rPr>
                <w:rFonts w:hint="eastAsia" w:ascii="宋体" w:hAnsi="宋体" w:eastAsia="宋体" w:cs="宋体"/>
                <w:b w:val="0"/>
                <w:bCs w:val="0"/>
                <w:sz w:val="21"/>
                <w:szCs w:val="21"/>
              </w:rPr>
              <w:t>或粤省事查询截图（“粤省事”-“办事”-“食品安全”-“食安员查证及考核”-“我的食安员证”）；</w:t>
            </w:r>
          </w:p>
          <w:p w14:paraId="00BFEB6A">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3.评分内容第（2）项要求同时提供：①相对应的证书；②提供证书在技能人才评价证书全国联网查询截图（http://zscx.osta.org.cn）</w:t>
            </w:r>
            <w:r>
              <w:rPr>
                <w:rFonts w:hint="eastAsia" w:ascii="宋体" w:hAnsi="宋体" w:eastAsia="宋体" w:cs="宋体"/>
                <w:b w:val="0"/>
                <w:bCs w:val="0"/>
                <w:sz w:val="21"/>
                <w:szCs w:val="21"/>
                <w:lang w:eastAsia="zh-CN"/>
              </w:rPr>
              <w:t>；若人员证书为协会颁发的，则还需同时提供该协会在全国社会组织信用信息公示平台（网址https://xxgs.chinanpo.mca.gov.cn)的查询“正常”页面截图</w:t>
            </w:r>
            <w:r>
              <w:rPr>
                <w:rFonts w:hint="eastAsia" w:ascii="宋体" w:hAnsi="宋体" w:eastAsia="宋体" w:cs="宋体"/>
                <w:b w:val="0"/>
                <w:bCs w:val="0"/>
                <w:sz w:val="21"/>
                <w:szCs w:val="21"/>
              </w:rPr>
              <w:t>，否则不予认可，视为无效证书</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若</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农产品食品检验员证书</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是由评价机构（或行业协会）发证的，还需</w:t>
            </w:r>
            <w:r>
              <w:rPr>
                <w:rFonts w:hint="eastAsia" w:ascii="宋体" w:hAnsi="宋体" w:eastAsia="宋体" w:cs="宋体"/>
                <w:b w:val="0"/>
                <w:bCs w:val="0"/>
                <w:sz w:val="21"/>
                <w:szCs w:val="21"/>
                <w:lang w:eastAsia="zh-CN"/>
              </w:rPr>
              <w:t>同时</w:t>
            </w:r>
            <w:r>
              <w:rPr>
                <w:rFonts w:hint="eastAsia" w:ascii="宋体" w:hAnsi="宋体" w:eastAsia="宋体" w:cs="宋体"/>
                <w:b w:val="0"/>
                <w:bCs w:val="0"/>
                <w:sz w:val="21"/>
                <w:szCs w:val="21"/>
              </w:rPr>
              <w:t>提供该评价机构（或行业协会）在职业技能等级评价机构公示查询系统（http://pjjg.osta.org.cn/）的备案查询截图，截图需体现该评价机构（或行业协会）可开展职业技能等级认定的职业（工种）包含</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农产品食品检验员</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，否则不予认可，视为无效证书</w:t>
            </w:r>
            <w:r>
              <w:rPr>
                <w:rFonts w:hint="eastAsia" w:ascii="宋体" w:hAnsi="宋体" w:eastAsia="宋体" w:cs="宋体"/>
                <w:b w:val="0"/>
                <w:bCs w:val="0"/>
                <w:sz w:val="21"/>
                <w:szCs w:val="21"/>
                <w:lang w:eastAsia="zh-CN"/>
              </w:rPr>
              <w:t>；</w:t>
            </w:r>
          </w:p>
          <w:p w14:paraId="29EB780E">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4.提供以上证明文件扫描</w:t>
            </w:r>
            <w:bookmarkStart w:id="84" w:name="_GoBack"/>
            <w:bookmarkEnd w:id="84"/>
            <w:r>
              <w:rPr>
                <w:rFonts w:hint="eastAsia" w:ascii="宋体" w:hAnsi="宋体" w:eastAsia="宋体" w:cs="宋体"/>
                <w:b w:val="0"/>
                <w:bCs w:val="0"/>
                <w:sz w:val="21"/>
                <w:szCs w:val="21"/>
              </w:rPr>
              <w:t>件，如涉及网站截图或照片等证明材料,需提供清晰图片,原件备查。未按要求提供有效证明材料或提供不清晰导致评委无法识别的不计得分。</w:t>
            </w:r>
          </w:p>
        </w:tc>
      </w:tr>
      <w:tr w14:paraId="765E8C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075E2C59">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6763F2D6">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2835" w:type="dxa"/>
            <w:tcBorders>
              <w:top w:val="single" w:color="000000" w:sz="8" w:space="0"/>
              <w:left w:val="single" w:color="000000" w:sz="8" w:space="0"/>
              <w:bottom w:val="single" w:color="000000" w:sz="8" w:space="0"/>
              <w:right w:val="single" w:color="000000" w:sz="8" w:space="0"/>
            </w:tcBorders>
          </w:tcPr>
          <w:p w14:paraId="6D905BAB">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拟投入本项目的车辆情况</w:t>
            </w:r>
          </w:p>
        </w:tc>
        <w:tc>
          <w:tcPr>
            <w:tcW w:w="681" w:type="dxa"/>
            <w:tcBorders>
              <w:top w:val="single" w:color="000000" w:sz="8" w:space="0"/>
              <w:left w:val="single" w:color="000000" w:sz="8" w:space="0"/>
              <w:bottom w:val="single" w:color="000000" w:sz="8" w:space="0"/>
              <w:right w:val="single" w:color="000000" w:sz="8" w:space="0"/>
            </w:tcBorders>
          </w:tcPr>
          <w:p w14:paraId="3E4BC143">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4763" w:type="dxa"/>
            <w:tcBorders>
              <w:top w:val="single" w:color="000000" w:sz="8" w:space="0"/>
              <w:left w:val="single" w:color="000000" w:sz="8" w:space="0"/>
              <w:bottom w:val="single" w:color="000000" w:sz="8" w:space="0"/>
              <w:right w:val="single" w:color="000000" w:sz="8" w:space="0"/>
            </w:tcBorders>
          </w:tcPr>
          <w:p w14:paraId="4AB58982">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5C025262">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投标人承诺中标后提供1辆自有或租赁的冷藏车辆（无限号或禁行问题），用于本项目的配送服务，得100分。</w:t>
            </w:r>
          </w:p>
          <w:p w14:paraId="0AA38743">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p>
          <w:p w14:paraId="3F05E2A6">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（二）评分依据：</w:t>
            </w:r>
          </w:p>
          <w:p w14:paraId="45AB918D">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提供《拟投入本项目的车辆情况承诺函》（格式自定）作为得分依据，未提供承诺或承诺内容不满足要求不得分。</w:t>
            </w:r>
          </w:p>
        </w:tc>
      </w:tr>
      <w:tr w14:paraId="209D83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077BDEA5">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073DF280">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w:t>
            </w:r>
          </w:p>
        </w:tc>
        <w:tc>
          <w:tcPr>
            <w:tcW w:w="2835" w:type="dxa"/>
            <w:tcBorders>
              <w:top w:val="single" w:color="000000" w:sz="8" w:space="0"/>
              <w:left w:val="single" w:color="000000" w:sz="8" w:space="0"/>
              <w:bottom w:val="single" w:color="000000" w:sz="8" w:space="0"/>
              <w:right w:val="single" w:color="000000" w:sz="8" w:space="0"/>
            </w:tcBorders>
          </w:tcPr>
          <w:p w14:paraId="2CCFC9E2">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拟投入本项目的配送场地情况</w:t>
            </w:r>
          </w:p>
        </w:tc>
        <w:tc>
          <w:tcPr>
            <w:tcW w:w="681" w:type="dxa"/>
            <w:tcBorders>
              <w:top w:val="single" w:color="000000" w:sz="8" w:space="0"/>
              <w:left w:val="single" w:color="000000" w:sz="8" w:space="0"/>
              <w:bottom w:val="single" w:color="000000" w:sz="8" w:space="0"/>
              <w:right w:val="single" w:color="000000" w:sz="8" w:space="0"/>
            </w:tcBorders>
          </w:tcPr>
          <w:p w14:paraId="366A2423">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4763" w:type="dxa"/>
            <w:tcBorders>
              <w:top w:val="single" w:color="000000" w:sz="8" w:space="0"/>
              <w:left w:val="single" w:color="000000" w:sz="8" w:space="0"/>
              <w:bottom w:val="single" w:color="000000" w:sz="8" w:space="0"/>
              <w:right w:val="single" w:color="000000" w:sz="8" w:space="0"/>
            </w:tcBorders>
          </w:tcPr>
          <w:p w14:paraId="52F82E17">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4E600DEF">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根据投标人为本项目拟投入的配送场地情况进行评分：</w:t>
            </w:r>
          </w:p>
          <w:p w14:paraId="69A62842">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（1）投标人配送场所面积＞5000平方米，得100分；</w:t>
            </w:r>
          </w:p>
          <w:p w14:paraId="53FA20C3">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（2）3000平方米＜投标人配送场所面积≤5000平方米，得60分；</w:t>
            </w:r>
          </w:p>
          <w:p w14:paraId="3340BAB2">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（3）1500平方米＜投标人配送场所面积≤3000平方米，得30分；</w:t>
            </w:r>
          </w:p>
          <w:p w14:paraId="32394210">
            <w:pPr>
              <w:pStyle w:val="17"/>
              <w:keepNext w:val="0"/>
              <w:keepLines w:val="0"/>
              <w:pageBreakBefore w:val="0"/>
              <w:kinsoku/>
              <w:wordWrap/>
              <w:overflowPunct/>
              <w:topLinePunct w:val="0"/>
              <w:bidi w:val="0"/>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（4）500平方米＜投标人配送场所面积≤1500平方米，得</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p w14:paraId="0A9AB464">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投标人配送场所面积≤</w:t>
            </w:r>
            <w:r>
              <w:rPr>
                <w:rFonts w:hint="eastAsia" w:ascii="宋体" w:hAnsi="宋体" w:eastAsia="宋体" w:cs="宋体"/>
                <w:b w:val="0"/>
                <w:bCs w:val="0"/>
                <w:sz w:val="21"/>
                <w:szCs w:val="21"/>
                <w:lang w:val="en-US" w:eastAsia="zh-CN"/>
              </w:rPr>
              <w:t>500</w:t>
            </w:r>
            <w:r>
              <w:rPr>
                <w:rFonts w:hint="eastAsia" w:ascii="宋体" w:hAnsi="宋体" w:eastAsia="宋体" w:cs="宋体"/>
                <w:b w:val="0"/>
                <w:bCs w:val="0"/>
                <w:sz w:val="21"/>
                <w:szCs w:val="21"/>
              </w:rPr>
              <w:t>平方米</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不得分。</w:t>
            </w:r>
          </w:p>
          <w:p w14:paraId="4EE1BD80">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p>
          <w:p w14:paraId="7A04995C">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（二）评分依据：</w:t>
            </w:r>
          </w:p>
          <w:p w14:paraId="19C4B66E">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1.自有配送场所提供自有产权证明作为得分依据；</w:t>
            </w:r>
          </w:p>
          <w:p w14:paraId="5FAB281D">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租赁的配送场所提供租赁合同关键页（包括但不限于：合同名称页、合同主要内容页、合同签订日期页、合同双方签字盖章页，租赁日期须涵盖本项目投标截止日期）以及提供包含本项目投标截止日前任意一次的租金发票或银行转账回执（收款人需与租赁合同出租方或甲方一致）作为得分依据；</w:t>
            </w:r>
          </w:p>
          <w:p w14:paraId="63697013">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3.提供以上证明文件扫描件，如涉及网站截图或照片等证明材料,需提供清晰图片,原件备查。未按要求提供有效证明材料或提供不清晰导致评委无法识别的不计得分。</w:t>
            </w:r>
          </w:p>
        </w:tc>
      </w:tr>
      <w:tr w14:paraId="29E2B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7678D8A2">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715EE5E0">
            <w:pPr>
              <w:keepNext w:val="0"/>
              <w:keepLines w:val="0"/>
              <w:pageBreakBefore w:val="0"/>
              <w:kinsoku/>
              <w:wordWrap/>
              <w:overflowPunct/>
              <w:topLinePunct w:val="0"/>
              <w:bidi w:val="0"/>
              <w:spacing w:line="360" w:lineRule="auto"/>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10</w:t>
            </w:r>
          </w:p>
        </w:tc>
        <w:tc>
          <w:tcPr>
            <w:tcW w:w="2835" w:type="dxa"/>
            <w:tcBorders>
              <w:top w:val="single" w:color="000000" w:sz="8" w:space="0"/>
              <w:left w:val="single" w:color="000000" w:sz="8" w:space="0"/>
              <w:bottom w:val="single" w:color="000000" w:sz="8" w:space="0"/>
              <w:right w:val="single" w:color="000000" w:sz="8" w:space="0"/>
            </w:tcBorders>
          </w:tcPr>
          <w:p w14:paraId="6A3835F6">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拟投入本项目的冷库情况</w:t>
            </w:r>
          </w:p>
        </w:tc>
        <w:tc>
          <w:tcPr>
            <w:tcW w:w="681" w:type="dxa"/>
            <w:tcBorders>
              <w:top w:val="single" w:color="000000" w:sz="8" w:space="0"/>
              <w:left w:val="single" w:color="000000" w:sz="8" w:space="0"/>
              <w:bottom w:val="single" w:color="000000" w:sz="8" w:space="0"/>
              <w:right w:val="single" w:color="000000" w:sz="8" w:space="0"/>
            </w:tcBorders>
          </w:tcPr>
          <w:p w14:paraId="1693345E">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4763" w:type="dxa"/>
            <w:tcBorders>
              <w:top w:val="single" w:color="000000" w:sz="8" w:space="0"/>
              <w:left w:val="single" w:color="000000" w:sz="8" w:space="0"/>
              <w:bottom w:val="single" w:color="000000" w:sz="8" w:space="0"/>
              <w:right w:val="single" w:color="000000" w:sz="8" w:space="0"/>
            </w:tcBorders>
          </w:tcPr>
          <w:p w14:paraId="5E4149FD">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5AD7DEFA">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根据投标人拟投入的冷库（含冷冻或冷藏）面积进行评分：</w:t>
            </w:r>
          </w:p>
          <w:p w14:paraId="342403B8">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（1）冷库面积≥500平方米的，得100分；</w:t>
            </w:r>
          </w:p>
          <w:p w14:paraId="015E745F">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（2）200平方米≤冷库面积＜500平方米的，得60分；</w:t>
            </w:r>
          </w:p>
          <w:p w14:paraId="77B7F696">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（3）100平方米≤冷库面积＜200平方米的，得30分；</w:t>
            </w:r>
          </w:p>
          <w:p w14:paraId="472D55A7">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（4）冷库面积＜100平方米的不得分。</w:t>
            </w:r>
          </w:p>
          <w:p w14:paraId="7657B89E">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注：提供多个地址冷库面积不累计，以面积最大的冷库计分。</w:t>
            </w:r>
          </w:p>
          <w:p w14:paraId="54E78C17">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p>
          <w:p w14:paraId="05EB39D4">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（二）评分依据：</w:t>
            </w:r>
          </w:p>
          <w:p w14:paraId="52EF838C">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1.投标人提供冷库证明材料（证明材料需体现冷库面积，若下列材料无面积信息，可增加其他能体现冷库面积信息的材料）：</w:t>
            </w:r>
          </w:p>
          <w:p w14:paraId="0DB74D2D">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a.自有冷库的同时提供:①冷库建造合同及发票；②冷库正门全景照片和内景照片各一张；③本项目投标截止日前近一年内第三方机构出具的冷库温度校准报告（须包括冷藏和冷冻）；</w:t>
            </w:r>
          </w:p>
          <w:p w14:paraId="53E68BAB">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b.租赁冷库的同时提供：①租赁合同且租赁日期须涵盖本项目投标截止日期；②包含本项目投标截止日前任意一次租金发票或银行转账回执（收款人需与租赁合同出租方或甲方一致）；③冷库正门全景照片和内景照片各一张；④本项目投标截止日前近一年内第三方机构出具的冷库温度校准报告（须包括冷藏和冷冻）。</w:t>
            </w:r>
          </w:p>
          <w:p w14:paraId="65ECFD54">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2.提供以上证明文件扫描件，如涉及网站截图或照片等证明材料,需提供清晰图片,原件备查。未按要求提供有效证明材料或提供不清晰导致评委无法识别的不计得分。</w:t>
            </w:r>
          </w:p>
        </w:tc>
      </w:tr>
      <w:tr w14:paraId="7DD3A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5E3A5234">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3D29158">
            <w:pPr>
              <w:keepNext w:val="0"/>
              <w:keepLines w:val="0"/>
              <w:pageBreakBefore w:val="0"/>
              <w:kinsoku/>
              <w:wordWrap/>
              <w:overflowPunct/>
              <w:topLinePunct w:val="0"/>
              <w:bidi w:val="0"/>
              <w:spacing w:line="360" w:lineRule="auto"/>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11</w:t>
            </w:r>
          </w:p>
        </w:tc>
        <w:tc>
          <w:tcPr>
            <w:tcW w:w="2835" w:type="dxa"/>
            <w:tcBorders>
              <w:top w:val="single" w:color="000000" w:sz="8" w:space="0"/>
              <w:left w:val="single" w:color="000000" w:sz="8" w:space="0"/>
              <w:bottom w:val="single" w:color="000000" w:sz="8" w:space="0"/>
              <w:right w:val="single" w:color="000000" w:sz="8" w:space="0"/>
            </w:tcBorders>
          </w:tcPr>
          <w:p w14:paraId="04EF3C24">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食品安全检测能力</w:t>
            </w:r>
          </w:p>
        </w:tc>
        <w:tc>
          <w:tcPr>
            <w:tcW w:w="681" w:type="dxa"/>
            <w:tcBorders>
              <w:top w:val="single" w:color="000000" w:sz="8" w:space="0"/>
              <w:left w:val="single" w:color="000000" w:sz="8" w:space="0"/>
              <w:bottom w:val="single" w:color="000000" w:sz="8" w:space="0"/>
              <w:right w:val="single" w:color="000000" w:sz="8" w:space="0"/>
            </w:tcBorders>
          </w:tcPr>
          <w:p w14:paraId="088F4657">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4763" w:type="dxa"/>
            <w:tcBorders>
              <w:top w:val="single" w:color="000000" w:sz="8" w:space="0"/>
              <w:left w:val="single" w:color="000000" w:sz="8" w:space="0"/>
              <w:bottom w:val="single" w:color="000000" w:sz="8" w:space="0"/>
              <w:right w:val="single" w:color="000000" w:sz="8" w:space="0"/>
            </w:tcBorders>
          </w:tcPr>
          <w:p w14:paraId="755EEBA2">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484DE49C">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投标人承诺具有自有检测室或租赁检测室，在此基础上具有自有仪器或租赁仪器的情况进行评分：</w:t>
            </w:r>
          </w:p>
          <w:p w14:paraId="250F8BCA">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（1）具有农药残留检测仪的，得25分；</w:t>
            </w:r>
          </w:p>
          <w:p w14:paraId="34B9D671">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（2）具有微生物检测仪的，得25分；</w:t>
            </w:r>
          </w:p>
          <w:p w14:paraId="32C4616E">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（3）具有食品添加剂检测仪的，得25分；</w:t>
            </w:r>
          </w:p>
          <w:p w14:paraId="4A5FAA61">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（4）具有重金属检测仪的，得25分。</w:t>
            </w:r>
          </w:p>
          <w:p w14:paraId="47D7CAD9">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注：如一个设备同时具备（满足）以上第1至4项检测仪器中多个检测仪器的检测功能，可同时获得对应仪器的得分。同一类仪器只计一次分，不重复计分，本小项最高得100分（仪器名称如有出入，需提供说明书或相关证明材料证明功能满足对应检测仪的功能亦可得分）。</w:t>
            </w:r>
          </w:p>
          <w:p w14:paraId="0A221543">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p>
          <w:p w14:paraId="1A8005E6">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（二）评分依据：</w:t>
            </w:r>
          </w:p>
          <w:p w14:paraId="74F87DEF">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1.投标人提供承诺函（格式自拟），承诺具有自有检测室或租赁检测室，未提供承诺或承诺内容不满足要求的本评分项不得分；</w:t>
            </w:r>
          </w:p>
          <w:p w14:paraId="74DCD1F3">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2.检测仪器提供：</w:t>
            </w:r>
          </w:p>
          <w:p w14:paraId="1665FA84">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 自有检测仪器提供仪器设备实物照片及仪器购买发票扫描件（发票抬头需为投标人）；</w:t>
            </w:r>
          </w:p>
          <w:p w14:paraId="23F86765">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 租赁检测仪器提供租赁合同、相对应检测仪器名称的租赁费用发票扫描件（发票抬头需为投标人）和仪器设备实物照片。</w:t>
            </w:r>
          </w:p>
          <w:p w14:paraId="595FCE3C">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3.同时满足多项检测功能的设备（同一设备具备多种检测功能的仪器）需同时提供说明书或相关证明材料</w:t>
            </w:r>
            <w:r>
              <w:rPr>
                <w:rFonts w:hint="eastAsia" w:ascii="宋体" w:hAnsi="宋体" w:cs="宋体"/>
                <w:b w:val="0"/>
                <w:bCs w:val="0"/>
                <w:sz w:val="21"/>
                <w:szCs w:val="21"/>
                <w:lang w:val="en-US" w:eastAsia="zh-CN"/>
              </w:rPr>
              <w:t>佐证</w:t>
            </w:r>
            <w:r>
              <w:rPr>
                <w:rFonts w:hint="eastAsia" w:ascii="宋体" w:hAnsi="宋体" w:eastAsia="宋体" w:cs="宋体"/>
                <w:b w:val="0"/>
                <w:bCs w:val="0"/>
                <w:sz w:val="21"/>
                <w:szCs w:val="21"/>
              </w:rPr>
              <w:t>。</w:t>
            </w:r>
          </w:p>
          <w:p w14:paraId="6D264D7A">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4.提供以上证明文件扫描件，如涉及网站截图或照片等证明材料,需提供清晰图片,原件备查。未按要求提供有效证明材料或提供不清晰导致评委无法识别的不计得分。</w:t>
            </w:r>
          </w:p>
        </w:tc>
      </w:tr>
      <w:tr w14:paraId="5DC8D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13DD1CA7">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112434F7">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商务</w:t>
            </w:r>
          </w:p>
        </w:tc>
        <w:tc>
          <w:tcPr>
            <w:tcW w:w="4763" w:type="dxa"/>
            <w:tcBorders>
              <w:top w:val="single" w:color="000000" w:sz="8" w:space="0"/>
              <w:left w:val="single" w:color="000000" w:sz="8" w:space="0"/>
              <w:bottom w:val="single" w:color="000000" w:sz="8" w:space="0"/>
              <w:right w:val="single" w:color="000000" w:sz="8" w:space="0"/>
            </w:tcBorders>
          </w:tcPr>
          <w:p w14:paraId="1A203C45">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15</w:t>
            </w:r>
          </w:p>
        </w:tc>
      </w:tr>
      <w:tr w14:paraId="7BC2B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08A94791">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D19DB30">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62C116B">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C2C34E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12CE61A">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20DE22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continue"/>
            <w:tcBorders>
              <w:left w:val="single" w:color="000000" w:sz="8" w:space="0"/>
              <w:right w:val="single" w:color="000000" w:sz="8" w:space="0"/>
            </w:tcBorders>
            <w:vAlign w:val="center"/>
          </w:tcPr>
          <w:p w14:paraId="764FCFD4">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7AA38A6C">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2F511E7A">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供应商认证情况</w:t>
            </w:r>
          </w:p>
        </w:tc>
        <w:tc>
          <w:tcPr>
            <w:tcW w:w="681" w:type="dxa"/>
            <w:tcBorders>
              <w:top w:val="single" w:color="000000" w:sz="8" w:space="0"/>
              <w:left w:val="single" w:color="000000" w:sz="8" w:space="0"/>
              <w:bottom w:val="single" w:color="000000" w:sz="8" w:space="0"/>
              <w:right w:val="single" w:color="000000" w:sz="8" w:space="0"/>
            </w:tcBorders>
          </w:tcPr>
          <w:p w14:paraId="54C684EF">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4763" w:type="dxa"/>
            <w:tcBorders>
              <w:top w:val="single" w:color="000000" w:sz="8" w:space="0"/>
              <w:left w:val="single" w:color="000000" w:sz="8" w:space="0"/>
              <w:bottom w:val="single" w:color="000000" w:sz="8" w:space="0"/>
              <w:right w:val="single" w:color="000000" w:sz="8" w:space="0"/>
            </w:tcBorders>
          </w:tcPr>
          <w:p w14:paraId="734E78EE">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4FBE6489">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投标人具有以下认证证书：</w:t>
            </w:r>
          </w:p>
          <w:p w14:paraId="546B9AD3">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1.具有质量管理体系认证证书的，得33分；</w:t>
            </w:r>
          </w:p>
          <w:p w14:paraId="4D1CF6B9">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2.具有职业健康安全管理体系认证证书的，得33分；</w:t>
            </w:r>
          </w:p>
          <w:p w14:paraId="36473BDC">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3.具有食品安全管理体系认证证书的，得34分。</w:t>
            </w:r>
          </w:p>
          <w:p w14:paraId="6E9DFC1A">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注：以上累计最高得100分。</w:t>
            </w:r>
          </w:p>
          <w:p w14:paraId="616F1D19">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p>
          <w:p w14:paraId="685B27AE">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（二）评分依据：</w:t>
            </w:r>
          </w:p>
          <w:p w14:paraId="07804598">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1.提供有效认证证书（如认证证书注明年审要求的，必须按规定年审且证书在有效期内的方为有效；如未注明年审要求的，证书必须在有效期内的方为有效）；</w:t>
            </w:r>
          </w:p>
          <w:p w14:paraId="27818819">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2.提供证书官网或权威机构【如：全国认证认可信息公共服务平台（cx.cnca.cn）】认证信息查询截图（截图需显示证书状态为有效）。</w:t>
            </w:r>
            <w:r>
              <w:rPr>
                <w:rFonts w:hint="eastAsia" w:ascii="宋体" w:hAnsi="宋体" w:eastAsia="宋体" w:cs="宋体"/>
                <w:b w:val="0"/>
                <w:bCs w:val="0"/>
                <w:sz w:val="21"/>
                <w:szCs w:val="21"/>
                <w:lang w:val="zh-CN"/>
              </w:rPr>
              <w:t>相关证书在公开渠道无法查询的，投标人需提供颁发部门或者监管机构的证明材料，证明证书真实有效且为合法机构颁发；</w:t>
            </w:r>
          </w:p>
          <w:p w14:paraId="5463CAE5">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3.证书由行业协会颁发的，需提供该行业协会在“中国社会组织政务服务平台”（网址：https://chinanpo.mca.gov.cn）查询的已合法登记且状态正常截图，否则不予认可，视为无效证书；</w:t>
            </w:r>
          </w:p>
          <w:p w14:paraId="35A8CEB2">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4.如投标人成立时间不足三个月，可提供情况说明作为佐证材料，无需提供证书和认证信息查询截图亦视为满足评分要求；</w:t>
            </w:r>
          </w:p>
          <w:p w14:paraId="27742FB2">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5.提供以上证明文件扫描件，如涉及网站截图或照片等证明材料，需提供清晰图片，原件备查。</w:t>
            </w:r>
            <w:r>
              <w:rPr>
                <w:rFonts w:hint="eastAsia" w:ascii="宋体" w:hAnsi="宋体" w:eastAsia="宋体" w:cs="宋体"/>
                <w:b w:val="0"/>
                <w:bCs w:val="0"/>
                <w:sz w:val="21"/>
                <w:szCs w:val="21"/>
                <w:lang w:val="zh-CN"/>
              </w:rPr>
              <w:t>对于未提供证明文件，未提供查询记录且无其他证明材料的，或者提供不清晰导致评委无法判断的，均作不得分处理。</w:t>
            </w:r>
          </w:p>
        </w:tc>
      </w:tr>
      <w:tr w14:paraId="7D26CE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724868A3">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754033CE">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p>
        </w:tc>
        <w:tc>
          <w:tcPr>
            <w:tcW w:w="2835" w:type="dxa"/>
            <w:tcBorders>
              <w:top w:val="single" w:color="000000" w:sz="8" w:space="0"/>
              <w:left w:val="single" w:color="000000" w:sz="8" w:space="0"/>
              <w:bottom w:val="single" w:color="000000" w:sz="8" w:space="0"/>
              <w:right w:val="single" w:color="000000" w:sz="8" w:space="0"/>
            </w:tcBorders>
          </w:tcPr>
          <w:p w14:paraId="1710ED60">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供应商同类项目业绩情况</w:t>
            </w:r>
          </w:p>
        </w:tc>
        <w:tc>
          <w:tcPr>
            <w:tcW w:w="681" w:type="dxa"/>
            <w:tcBorders>
              <w:top w:val="single" w:color="000000" w:sz="8" w:space="0"/>
              <w:left w:val="single" w:color="000000" w:sz="8" w:space="0"/>
              <w:bottom w:val="single" w:color="000000" w:sz="8" w:space="0"/>
              <w:right w:val="single" w:color="000000" w:sz="8" w:space="0"/>
            </w:tcBorders>
          </w:tcPr>
          <w:p w14:paraId="7B544139">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4763" w:type="dxa"/>
            <w:tcBorders>
              <w:top w:val="single" w:color="000000" w:sz="8" w:space="0"/>
              <w:left w:val="single" w:color="000000" w:sz="8" w:space="0"/>
              <w:bottom w:val="single" w:color="000000" w:sz="8" w:space="0"/>
              <w:right w:val="single" w:color="000000" w:sz="8" w:space="0"/>
            </w:tcBorders>
          </w:tcPr>
          <w:p w14:paraId="4AC439FD">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5F79BD6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2020年12月1日至本项目投标截止日期(以合同签订时间为准)，投标人具有党政机关或事业单位同类项目配送经验（以投标人名义独立承担的食材配送服务业绩）的，且经采购单位或被服务单位履约评价结果为“优”或“满意”或评价中最高等级，每提供一个得50分，最高得100分。同一项目续签合同的不可重复得分。</w:t>
            </w:r>
          </w:p>
          <w:p w14:paraId="53D04807">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b w:val="0"/>
                <w:bCs w:val="0"/>
                <w:kern w:val="0"/>
                <w:sz w:val="21"/>
                <w:szCs w:val="21"/>
              </w:rPr>
            </w:pPr>
          </w:p>
          <w:p w14:paraId="2556D847">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（二）评分依据：</w:t>
            </w:r>
          </w:p>
          <w:p w14:paraId="3EB34FC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1.投标人提供的每项业绩须按以下要求提供完整准确的证明文件，如未按以下要求提供完整证明文件的业绩不计分： </w:t>
            </w:r>
          </w:p>
          <w:p w14:paraId="1288F9F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① 中标通知书； </w:t>
            </w:r>
          </w:p>
          <w:p w14:paraId="703CA73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② 合同关键页（关键信息包括但不仅限于合同的项目名称、服务内容、合同服务的起止时间、签订日期）； </w:t>
            </w:r>
          </w:p>
          <w:p w14:paraId="6B6D8BA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③ 加盖合同甲方公章或甲方业务章的履约评价为“优”或“满意”或评价中最高等级的证明文件，证明文件的内容必须包括但不仅限于合同的项目名称、履约评价结果、出具证明的签署日期。</w:t>
            </w:r>
          </w:p>
          <w:p w14:paraId="5CA3F77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2.通过合同关键信息无法判断是否得分的，还需提供能证明得分的其它证明资料，如项目报告或合同甲方出具的证明文件；</w:t>
            </w:r>
          </w:p>
          <w:p w14:paraId="44FD4A5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kern w:val="0"/>
                <w:sz w:val="21"/>
                <w:szCs w:val="21"/>
              </w:rPr>
              <w:t>以上</w:t>
            </w:r>
            <w:r>
              <w:rPr>
                <w:rFonts w:hint="eastAsia" w:ascii="宋体" w:hAnsi="宋体" w:eastAsia="宋体" w:cs="宋体"/>
                <w:b w:val="0"/>
                <w:bCs w:val="0"/>
                <w:sz w:val="21"/>
                <w:szCs w:val="21"/>
              </w:rPr>
              <w:t>证明文件</w:t>
            </w:r>
            <w:r>
              <w:rPr>
                <w:rFonts w:hint="eastAsia" w:ascii="宋体" w:hAnsi="宋体" w:eastAsia="宋体" w:cs="宋体"/>
                <w:b w:val="0"/>
                <w:bCs w:val="0"/>
                <w:kern w:val="0"/>
                <w:sz w:val="21"/>
                <w:szCs w:val="21"/>
              </w:rPr>
              <w:t>均提供扫描件，原件备查。</w:t>
            </w:r>
            <w:r>
              <w:rPr>
                <w:rFonts w:hint="eastAsia" w:ascii="宋体" w:hAnsi="宋体" w:eastAsia="宋体" w:cs="宋体"/>
                <w:b w:val="0"/>
                <w:bCs w:val="0"/>
                <w:sz w:val="21"/>
                <w:szCs w:val="21"/>
              </w:rPr>
              <w:t>未按要求提供有效证明材料或提供不清晰导致评委无法识别的不计得分。</w:t>
            </w:r>
          </w:p>
        </w:tc>
      </w:tr>
      <w:tr w14:paraId="53BDA4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5C6C69FE">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6277DBBE">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p>
        </w:tc>
        <w:tc>
          <w:tcPr>
            <w:tcW w:w="2835" w:type="dxa"/>
            <w:tcBorders>
              <w:top w:val="single" w:color="000000" w:sz="8" w:space="0"/>
              <w:left w:val="single" w:color="000000" w:sz="8" w:space="0"/>
              <w:bottom w:val="single" w:color="000000" w:sz="8" w:space="0"/>
              <w:right w:val="single" w:color="000000" w:sz="8" w:space="0"/>
            </w:tcBorders>
          </w:tcPr>
          <w:p w14:paraId="2900A5FF">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服务网点</w:t>
            </w:r>
          </w:p>
        </w:tc>
        <w:tc>
          <w:tcPr>
            <w:tcW w:w="681" w:type="dxa"/>
            <w:tcBorders>
              <w:top w:val="single" w:color="000000" w:sz="8" w:space="0"/>
              <w:left w:val="single" w:color="000000" w:sz="8" w:space="0"/>
              <w:bottom w:val="single" w:color="000000" w:sz="8" w:space="0"/>
              <w:right w:val="single" w:color="000000" w:sz="8" w:space="0"/>
            </w:tcBorders>
          </w:tcPr>
          <w:p w14:paraId="3D6842AD">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4763" w:type="dxa"/>
            <w:tcBorders>
              <w:top w:val="single" w:color="000000" w:sz="8" w:space="0"/>
              <w:left w:val="single" w:color="000000" w:sz="8" w:space="0"/>
              <w:bottom w:val="single" w:color="000000" w:sz="8" w:space="0"/>
              <w:right w:val="single" w:color="000000" w:sz="8" w:space="0"/>
            </w:tcBorders>
          </w:tcPr>
          <w:p w14:paraId="0C1D3973">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（一）评分内容：</w:t>
            </w:r>
          </w:p>
          <w:p w14:paraId="0B7E7FCD">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投标人承诺中标后提供本地服务网点的，得100分。</w:t>
            </w:r>
          </w:p>
          <w:p w14:paraId="7420BB0F">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b w:val="0"/>
                <w:bCs w:val="0"/>
                <w:kern w:val="0"/>
                <w:sz w:val="21"/>
                <w:szCs w:val="21"/>
              </w:rPr>
            </w:pPr>
          </w:p>
          <w:p w14:paraId="48447CCC">
            <w:pPr>
              <w:keepNext w:val="0"/>
              <w:keepLines w:val="0"/>
              <w:pageBreakBefore w:val="0"/>
              <w:widowControl/>
              <w:kinsoku/>
              <w:wordWrap/>
              <w:overflowPunct/>
              <w:topLinePunct w:val="0"/>
              <w:bidi w:val="0"/>
              <w:snapToGrid w:val="0"/>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（二）评分依据：</w:t>
            </w:r>
          </w:p>
          <w:p w14:paraId="419855C2">
            <w:pPr>
              <w:keepNext w:val="0"/>
              <w:keepLines w:val="0"/>
              <w:pageBreakBefore w:val="0"/>
              <w:kinsoku/>
              <w:wordWrap/>
              <w:overflowPunct/>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提供《服务网点承诺函》（格式自定）作为得分依据，未提供承诺或承诺内容不满足要求不得分。</w:t>
            </w:r>
          </w:p>
        </w:tc>
      </w:tr>
      <w:tr w14:paraId="3900BD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5F480BD2">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54EFFB17">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其他</w:t>
            </w:r>
          </w:p>
        </w:tc>
        <w:tc>
          <w:tcPr>
            <w:tcW w:w="4763" w:type="dxa"/>
            <w:tcBorders>
              <w:top w:val="single" w:color="000000" w:sz="8" w:space="0"/>
              <w:left w:val="single" w:color="000000" w:sz="8" w:space="0"/>
              <w:bottom w:val="single" w:color="000000" w:sz="8" w:space="0"/>
              <w:right w:val="single" w:color="000000" w:sz="8" w:space="0"/>
            </w:tcBorders>
          </w:tcPr>
          <w:p w14:paraId="3BC4468E">
            <w:pPr>
              <w:keepNext w:val="0"/>
              <w:keepLines w:val="0"/>
              <w:pageBreakBefore w:val="0"/>
              <w:kinsoku/>
              <w:wordWrap/>
              <w:overflowPunct/>
              <w:topLinePunct w:val="0"/>
              <w:bidi w:val="0"/>
              <w:spacing w:line="36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w:t>
            </w:r>
          </w:p>
        </w:tc>
      </w:tr>
      <w:tr w14:paraId="059B21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24C709B8">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B3F8D3D">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B2C9FD">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5E47AF0">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899E37E">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40444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2DBBD547">
            <w:pPr>
              <w:keepNext w:val="0"/>
              <w:keepLines w:val="0"/>
              <w:pageBreakBefore w:val="0"/>
              <w:kinsoku/>
              <w:wordWrap/>
              <w:overflowPunct/>
              <w:topLinePunct w:val="0"/>
              <w:bidi w:val="0"/>
              <w:spacing w:line="36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42D751BA">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3AE59C56">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诚信评审</w:t>
            </w:r>
          </w:p>
        </w:tc>
        <w:tc>
          <w:tcPr>
            <w:tcW w:w="681" w:type="dxa"/>
            <w:tcBorders>
              <w:top w:val="single" w:color="000000" w:sz="8" w:space="0"/>
              <w:left w:val="single" w:color="000000" w:sz="8" w:space="0"/>
              <w:bottom w:val="single" w:color="000000" w:sz="8" w:space="0"/>
              <w:right w:val="single" w:color="000000" w:sz="8" w:space="0"/>
            </w:tcBorders>
          </w:tcPr>
          <w:p w14:paraId="22E08ED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763" w:type="dxa"/>
            <w:tcBorders>
              <w:top w:val="single" w:color="000000" w:sz="8" w:space="0"/>
              <w:left w:val="single" w:color="000000" w:sz="8" w:space="0"/>
              <w:bottom w:val="single" w:color="000000" w:sz="8" w:space="0"/>
              <w:right w:val="single" w:color="000000" w:sz="8" w:space="0"/>
            </w:tcBorders>
          </w:tcPr>
          <w:p w14:paraId="6EC733B7">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100分。</w:t>
            </w:r>
          </w:p>
          <w:p w14:paraId="4754774C">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r>
    </w:tbl>
    <w:p w14:paraId="5EA7E6CB">
      <w:pPr>
        <w:spacing w:before="0" w:after="0"/>
        <w:rPr>
          <w:rFonts w:hint="eastAsia" w:asciiTheme="minorEastAsia" w:hAnsiTheme="minorEastAsia" w:eastAsiaTheme="minorEastAsia"/>
          <w:b/>
          <w:bCs/>
          <w:sz w:val="28"/>
          <w:szCs w:val="56"/>
        </w:rPr>
      </w:pPr>
      <w:r>
        <w:rPr>
          <w:rFonts w:hint="eastAsia" w:asciiTheme="minorEastAsia" w:hAnsiTheme="minorEastAsia" w:eastAsiaTheme="minorEastAsia"/>
          <w:b/>
          <w:bCs/>
          <w:sz w:val="28"/>
          <w:szCs w:val="56"/>
        </w:rPr>
        <w:br w:type="page"/>
      </w:r>
    </w:p>
    <w:p w14:paraId="7DC98247">
      <w:pPr>
        <w:pStyle w:val="2"/>
        <w:spacing w:before="0" w:after="0"/>
        <w:rPr>
          <w:rFonts w:asciiTheme="minorEastAsia" w:hAnsiTheme="minorEastAsia" w:eastAsiaTheme="minorEastAsia"/>
        </w:rPr>
      </w:pPr>
      <w:r>
        <w:rPr>
          <w:rFonts w:hint="eastAsia" w:asciiTheme="minorEastAsia" w:hAnsiTheme="minorEastAsia" w:eastAsiaTheme="minorEastAsia"/>
          <w:b/>
          <w:bCs/>
          <w:sz w:val="28"/>
          <w:szCs w:val="56"/>
        </w:rPr>
        <w:t>其它关键信息</w:t>
      </w:r>
    </w:p>
    <w:p w14:paraId="312170F2">
      <w:pPr>
        <w:spacing w:line="360" w:lineRule="auto"/>
        <w:ind w:firstLine="413" w:firstLineChars="196"/>
        <w:rPr>
          <w:rFonts w:ascii="宋体" w:hAnsi="宋体"/>
          <w:szCs w:val="21"/>
        </w:rPr>
      </w:pPr>
      <w:r>
        <w:rPr>
          <w:rFonts w:hint="eastAsia" w:ascii="宋体" w:hAnsi="宋体"/>
          <w:b/>
          <w:szCs w:val="21"/>
        </w:rPr>
        <w:t>一</w:t>
      </w:r>
      <w:r>
        <w:rPr>
          <w:rFonts w:hint="eastAsia" w:asciiTheme="minorEastAsia" w:hAnsiTheme="minorEastAsia" w:eastAsiaTheme="minorEastAsia"/>
          <w:b/>
          <w:szCs w:val="21"/>
        </w:rPr>
        <w:t>、</w:t>
      </w:r>
      <w:r>
        <w:rPr>
          <w:rFonts w:hint="eastAsia"/>
          <w:b/>
          <w:szCs w:val="21"/>
        </w:rPr>
        <w:t>评标定标信息</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5"/>
      </w:tblGrid>
      <w:tr w14:paraId="25BB9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55041F67">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14:paraId="455E0D3F">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14:paraId="17B82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60287481">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14:paraId="478706E9">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14:paraId="55664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407EEB9F">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14:paraId="1DF16FB5">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14:paraId="2F0B8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41755CF2">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14:paraId="6582F9D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649B4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5F47A441">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14:paraId="60FCA409">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3</w:t>
            </w:r>
          </w:p>
        </w:tc>
      </w:tr>
    </w:tbl>
    <w:p w14:paraId="5AEAC292">
      <w:pPr>
        <w:spacing w:line="360" w:lineRule="auto"/>
        <w:ind w:firstLine="411" w:firstLineChars="196"/>
        <w:rPr>
          <w:rFonts w:ascii="宋体" w:hAnsi="宋体"/>
        </w:rPr>
      </w:pPr>
    </w:p>
    <w:p w14:paraId="233F3C04">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14:paraId="2DAA782A">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562E54">
      <w:pPr>
        <w:spacing w:line="360" w:lineRule="auto"/>
        <w:ind w:firstLine="420" w:firstLineChars="200"/>
        <w:rPr>
          <w:rFonts w:ascii="宋体" w:hAnsi="宋体"/>
          <w:szCs w:val="21"/>
        </w:rPr>
      </w:pPr>
    </w:p>
    <w:p w14:paraId="0A809766">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14:paraId="4F549286">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批发业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01882465">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14:paraId="7ACA2B3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503C456B">
      <w:pPr>
        <w:widowControl/>
        <w:spacing w:line="360" w:lineRule="auto"/>
        <w:ind w:firstLine="371" w:firstLineChars="177"/>
        <w:jc w:val="left"/>
        <w:rPr>
          <w:rFonts w:cs="仿宋" w:asciiTheme="minorEastAsia" w:hAnsiTheme="minorEastAsia" w:eastAsiaTheme="minorEastAsia"/>
          <w:szCs w:val="21"/>
        </w:rPr>
      </w:pPr>
      <w:r>
        <w:rPr>
          <w:rFonts w:hint="eastAsia" w:ascii="宋体" w:cs="MS Mincho" w:hAnsiTheme="minorEastAsia"/>
          <w:kern w:val="0"/>
          <w:szCs w:val="21"/>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7F5BC451">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14:paraId="19574FC7">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729EE8AA">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（3）分包意向协议约定，小型、微型企业的协议合同金额占到合同总金额30%以上的，可给予投标人</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14:paraId="5C29656C">
      <w:pPr>
        <w:spacing w:after="6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7D231519">
      <w:pPr>
        <w:spacing w:after="6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rPr>
        <w:t>）；监狱企业或者代理提供监狱企业货物的供应商如需享受优惠政策，除上述资料外，还须提供省级以上监狱管理局、戒毒管理局出具的监狱企业证明文件。</w:t>
      </w:r>
    </w:p>
    <w:p w14:paraId="4C3B9515">
      <w:pPr>
        <w:spacing w:line="360" w:lineRule="auto"/>
        <w:ind w:firstLine="422" w:firstLineChars="200"/>
        <w:rPr>
          <w:rFonts w:asciiTheme="minorEastAsia" w:hAnsiTheme="minorEastAsia" w:eastAsiaTheme="minorEastAsia"/>
          <w:b/>
          <w:szCs w:val="21"/>
        </w:rPr>
      </w:pPr>
    </w:p>
    <w:p w14:paraId="7452E6F3">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绿色采购</w:t>
      </w:r>
    </w:p>
    <w:p w14:paraId="20E585D4">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129439B6">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01A4E2E1">
      <w:pPr>
        <w:spacing w:line="360" w:lineRule="auto"/>
        <w:rPr>
          <w:rFonts w:ascii="Times New Roman" w:hAnsi="Times New Roman"/>
          <w:b/>
          <w:bCs/>
          <w:sz w:val="24"/>
          <w:szCs w:val="24"/>
        </w:rPr>
      </w:pPr>
    </w:p>
    <w:p w14:paraId="16C2EBB4">
      <w:pPr>
        <w:spacing w:line="360" w:lineRule="auto"/>
        <w:ind w:firstLine="422" w:firstLineChars="200"/>
        <w:rPr>
          <w:rFonts w:ascii="宋体" w:hAnsi="宋体"/>
          <w:b/>
          <w:szCs w:val="21"/>
        </w:rPr>
      </w:pPr>
      <w:r>
        <w:rPr>
          <w:rFonts w:hint="eastAsia" w:asciiTheme="minorEastAsia" w:hAnsiTheme="minorEastAsia" w:eastAsiaTheme="minorEastAsia"/>
          <w:b/>
          <w:szCs w:val="21"/>
        </w:rPr>
        <w:t>五、</w:t>
      </w:r>
      <w:r>
        <w:rPr>
          <w:rFonts w:hint="eastAsia" w:ascii="Times New Roman" w:hAnsi="Times New Roman"/>
          <w:b/>
          <w:szCs w:val="24"/>
        </w:rPr>
        <w:t>其他说明</w:t>
      </w:r>
    </w:p>
    <w:p w14:paraId="7C3FDB6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4D036101">
      <w:pPr>
        <w:widowControl/>
        <w:jc w:val="left"/>
        <w:rPr>
          <w:rFonts w:ascii="宋体" w:hAnsi="宋体" w:eastAsia="黑体"/>
          <w:b/>
          <w:bCs/>
          <w:kern w:val="44"/>
          <w:sz w:val="28"/>
          <w:szCs w:val="44"/>
        </w:rPr>
      </w:pPr>
      <w:r>
        <w:rPr>
          <w:rFonts w:ascii="宋体" w:hAnsi="宋体" w:eastAsia="黑体"/>
          <w:b/>
          <w:bCs/>
          <w:kern w:val="44"/>
          <w:sz w:val="28"/>
          <w:szCs w:val="44"/>
        </w:rPr>
        <w:br w:type="page"/>
      </w:r>
    </w:p>
    <w:p w14:paraId="6F840AF5">
      <w:pPr>
        <w:keepNext/>
        <w:keepLines/>
        <w:spacing w:before="340" w:after="330" w:line="360" w:lineRule="auto"/>
        <w:jc w:val="center"/>
        <w:outlineLvl w:val="0"/>
        <w:rPr>
          <w:rFonts w:ascii="宋体" w:hAnsi="宋体" w:eastAsia="黑体"/>
          <w:b/>
          <w:bCs/>
          <w:kern w:val="44"/>
          <w:sz w:val="28"/>
          <w:szCs w:val="44"/>
        </w:rPr>
      </w:pPr>
      <w:r>
        <w:rPr>
          <w:rFonts w:hint="eastAsia" w:ascii="宋体" w:hAnsi="宋体" w:eastAsia="黑体"/>
          <w:b/>
          <w:bCs/>
          <w:kern w:val="44"/>
          <w:sz w:val="28"/>
          <w:szCs w:val="44"/>
        </w:rPr>
        <w:t>目   录</w:t>
      </w:r>
    </w:p>
    <w:p w14:paraId="6BCE2628">
      <w:pPr>
        <w:rPr>
          <w:rFonts w:ascii="Times New Roman" w:hAnsi="Times New Roman"/>
          <w:b/>
          <w:sz w:val="24"/>
          <w:szCs w:val="24"/>
        </w:rPr>
      </w:pPr>
      <w:r>
        <w:rPr>
          <w:rFonts w:hint="eastAsia" w:ascii="Times New Roman" w:hAnsi="Times New Roman"/>
          <w:b/>
          <w:sz w:val="24"/>
          <w:szCs w:val="24"/>
        </w:rPr>
        <w:t>第一册  专用条款</w:t>
      </w:r>
    </w:p>
    <w:p w14:paraId="3C03AA95">
      <w:pPr>
        <w:ind w:left="630" w:leftChars="300" w:firstLine="411" w:firstLineChars="196"/>
        <w:rPr>
          <w:rFonts w:ascii="宋体" w:hAnsi="宋体"/>
          <w:szCs w:val="21"/>
        </w:rPr>
      </w:pPr>
      <w:r>
        <w:rPr>
          <w:rFonts w:hint="eastAsia" w:ascii="宋体" w:hAnsi="宋体"/>
          <w:szCs w:val="21"/>
        </w:rPr>
        <w:t>关键信息</w:t>
      </w:r>
    </w:p>
    <w:p w14:paraId="49EDFB30">
      <w:pPr>
        <w:ind w:left="630" w:leftChars="300" w:firstLine="411" w:firstLineChars="196"/>
        <w:rPr>
          <w:rFonts w:ascii="宋体" w:hAnsi="宋体"/>
          <w:szCs w:val="21"/>
        </w:rPr>
      </w:pPr>
      <w:r>
        <w:rPr>
          <w:rFonts w:hint="eastAsia" w:ascii="宋体" w:hAnsi="宋体"/>
          <w:szCs w:val="21"/>
        </w:rPr>
        <w:t>第一章  招标公告</w:t>
      </w:r>
    </w:p>
    <w:p w14:paraId="0076CD67">
      <w:pPr>
        <w:ind w:left="630" w:leftChars="300" w:firstLine="411" w:firstLineChars="196"/>
        <w:rPr>
          <w:rFonts w:ascii="宋体" w:hAnsi="宋体"/>
          <w:szCs w:val="21"/>
        </w:rPr>
      </w:pPr>
      <w:r>
        <w:rPr>
          <w:rFonts w:hint="eastAsia" w:ascii="宋体" w:hAnsi="宋体"/>
          <w:szCs w:val="21"/>
        </w:rPr>
        <w:t>第二章  招标项目需求</w:t>
      </w:r>
    </w:p>
    <w:p w14:paraId="2878840E">
      <w:pPr>
        <w:ind w:left="630" w:leftChars="300" w:firstLine="411" w:firstLineChars="196"/>
        <w:rPr>
          <w:rFonts w:ascii="宋体" w:hAnsi="宋体"/>
          <w:szCs w:val="21"/>
        </w:rPr>
      </w:pPr>
      <w:r>
        <w:rPr>
          <w:rFonts w:hint="eastAsia" w:ascii="宋体" w:hAnsi="宋体"/>
          <w:szCs w:val="21"/>
        </w:rPr>
        <w:t>第三章  投标文件格式、附件</w:t>
      </w:r>
    </w:p>
    <w:p w14:paraId="45311E99">
      <w:pPr>
        <w:ind w:left="630" w:leftChars="300" w:firstLine="411" w:firstLineChars="196"/>
        <w:rPr>
          <w:rFonts w:ascii="宋体" w:hAnsi="宋体"/>
          <w:szCs w:val="21"/>
        </w:rPr>
      </w:pPr>
      <w:r>
        <w:rPr>
          <w:rFonts w:hint="eastAsia" w:ascii="宋体" w:hAnsi="宋体"/>
          <w:szCs w:val="21"/>
        </w:rPr>
        <w:t>第四章  合同及履约情况反馈格式</w:t>
      </w:r>
    </w:p>
    <w:p w14:paraId="684C4F4E">
      <w:pPr>
        <w:ind w:left="630" w:leftChars="300" w:firstLine="411" w:firstLineChars="196"/>
        <w:rPr>
          <w:rFonts w:ascii="宋体" w:hAnsi="宋体"/>
          <w:szCs w:val="21"/>
        </w:rPr>
      </w:pPr>
      <w:r>
        <w:rPr>
          <w:rFonts w:hint="eastAsia" w:ascii="宋体" w:hAnsi="宋体"/>
          <w:szCs w:val="21"/>
        </w:rPr>
        <w:t>第五章  附件</w:t>
      </w:r>
    </w:p>
    <w:p w14:paraId="3D846857">
      <w:pPr>
        <w:ind w:left="630" w:leftChars="300" w:firstLine="411" w:firstLineChars="196"/>
        <w:rPr>
          <w:rFonts w:ascii="宋体" w:hAnsi="宋体"/>
          <w:szCs w:val="21"/>
        </w:rPr>
      </w:pPr>
    </w:p>
    <w:p w14:paraId="045AEA78">
      <w:pPr>
        <w:rPr>
          <w:rFonts w:ascii="Times New Roman" w:hAnsi="Times New Roman"/>
          <w:b/>
          <w:sz w:val="24"/>
          <w:szCs w:val="24"/>
        </w:rPr>
      </w:pPr>
    </w:p>
    <w:p w14:paraId="1A643275">
      <w:pPr>
        <w:rPr>
          <w:rFonts w:ascii="Times New Roman" w:hAnsi="Times New Roman"/>
          <w:b/>
          <w:sz w:val="24"/>
          <w:szCs w:val="24"/>
        </w:rPr>
      </w:pPr>
      <w:r>
        <w:rPr>
          <w:rFonts w:hint="eastAsia" w:ascii="Times New Roman" w:hAnsi="Times New Roman"/>
          <w:b/>
          <w:sz w:val="24"/>
          <w:szCs w:val="24"/>
        </w:rPr>
        <w:t>第二册  通用条款</w:t>
      </w:r>
    </w:p>
    <w:p w14:paraId="07E6403C">
      <w:pPr>
        <w:ind w:left="630" w:leftChars="300" w:firstLine="411" w:firstLineChars="196"/>
        <w:rPr>
          <w:rFonts w:ascii="宋体" w:hAnsi="宋体"/>
          <w:szCs w:val="21"/>
        </w:rPr>
      </w:pPr>
      <w:r>
        <w:rPr>
          <w:rFonts w:hint="eastAsia" w:ascii="宋体" w:hAnsi="宋体"/>
          <w:szCs w:val="21"/>
        </w:rPr>
        <w:t>第一章  总则</w:t>
      </w:r>
    </w:p>
    <w:p w14:paraId="4A2B179C">
      <w:pPr>
        <w:ind w:left="630" w:leftChars="300" w:firstLine="411" w:firstLineChars="196"/>
        <w:rPr>
          <w:rFonts w:ascii="宋体" w:hAnsi="宋体"/>
          <w:szCs w:val="21"/>
        </w:rPr>
      </w:pPr>
      <w:r>
        <w:rPr>
          <w:rFonts w:hint="eastAsia" w:ascii="宋体" w:hAnsi="宋体"/>
          <w:szCs w:val="21"/>
        </w:rPr>
        <w:t>第二章  招标文件</w:t>
      </w:r>
    </w:p>
    <w:p w14:paraId="05A3DD85">
      <w:pPr>
        <w:ind w:left="630" w:leftChars="300" w:firstLine="411" w:firstLineChars="196"/>
        <w:rPr>
          <w:rFonts w:ascii="宋体" w:hAnsi="宋体"/>
          <w:szCs w:val="21"/>
        </w:rPr>
      </w:pPr>
      <w:r>
        <w:rPr>
          <w:rFonts w:hint="eastAsia" w:ascii="宋体" w:hAnsi="宋体"/>
          <w:szCs w:val="21"/>
        </w:rPr>
        <w:t>第三章  投标文件的编制</w:t>
      </w:r>
    </w:p>
    <w:p w14:paraId="2015AFFD">
      <w:pPr>
        <w:ind w:left="630" w:leftChars="300" w:firstLine="411" w:firstLineChars="196"/>
        <w:rPr>
          <w:rFonts w:ascii="宋体" w:hAnsi="宋体"/>
          <w:szCs w:val="21"/>
        </w:rPr>
      </w:pPr>
      <w:r>
        <w:rPr>
          <w:rFonts w:hint="eastAsia" w:ascii="宋体" w:hAnsi="宋体"/>
          <w:szCs w:val="21"/>
        </w:rPr>
        <w:t>第四章  投标文件的递交</w:t>
      </w:r>
    </w:p>
    <w:p w14:paraId="41AFF1D4">
      <w:pPr>
        <w:ind w:left="630" w:leftChars="300" w:firstLine="411" w:firstLineChars="196"/>
        <w:rPr>
          <w:rFonts w:ascii="宋体" w:hAnsi="宋体"/>
          <w:szCs w:val="21"/>
        </w:rPr>
      </w:pPr>
      <w:r>
        <w:rPr>
          <w:rFonts w:hint="eastAsia" w:ascii="宋体" w:hAnsi="宋体"/>
          <w:szCs w:val="21"/>
        </w:rPr>
        <w:t>第五章  开标</w:t>
      </w:r>
    </w:p>
    <w:p w14:paraId="304DF776">
      <w:pPr>
        <w:ind w:left="630" w:leftChars="300" w:firstLine="411" w:firstLineChars="196"/>
        <w:rPr>
          <w:rFonts w:ascii="宋体" w:hAnsi="宋体"/>
          <w:szCs w:val="21"/>
        </w:rPr>
      </w:pPr>
      <w:r>
        <w:rPr>
          <w:rFonts w:hint="eastAsia" w:ascii="宋体" w:hAnsi="宋体"/>
          <w:szCs w:val="21"/>
        </w:rPr>
        <w:t>第六章  评标要求</w:t>
      </w:r>
    </w:p>
    <w:p w14:paraId="5D1C7DAB">
      <w:pPr>
        <w:ind w:left="630" w:leftChars="300" w:firstLine="411" w:firstLineChars="196"/>
        <w:rPr>
          <w:rFonts w:ascii="宋体" w:hAnsi="宋体"/>
          <w:szCs w:val="21"/>
        </w:rPr>
      </w:pPr>
      <w:r>
        <w:rPr>
          <w:rFonts w:hint="eastAsia" w:ascii="宋体" w:hAnsi="宋体"/>
          <w:szCs w:val="21"/>
        </w:rPr>
        <w:t>第七章  评标程序及评标方法</w:t>
      </w:r>
    </w:p>
    <w:p w14:paraId="34CEAB62">
      <w:pPr>
        <w:ind w:left="630" w:leftChars="300" w:firstLine="411" w:firstLineChars="196"/>
        <w:rPr>
          <w:rFonts w:ascii="宋体" w:hAnsi="宋体"/>
          <w:szCs w:val="21"/>
        </w:rPr>
      </w:pPr>
      <w:r>
        <w:rPr>
          <w:rFonts w:hint="eastAsia" w:ascii="宋体" w:hAnsi="宋体"/>
          <w:szCs w:val="21"/>
        </w:rPr>
        <w:t>第八章  定标及公示</w:t>
      </w:r>
    </w:p>
    <w:p w14:paraId="1436E62F">
      <w:pPr>
        <w:ind w:left="630" w:leftChars="300" w:firstLine="411" w:firstLineChars="196"/>
        <w:rPr>
          <w:rFonts w:ascii="宋体" w:hAnsi="宋体"/>
          <w:szCs w:val="21"/>
        </w:rPr>
      </w:pPr>
      <w:r>
        <w:rPr>
          <w:rFonts w:hint="eastAsia" w:ascii="宋体" w:hAnsi="宋体"/>
          <w:szCs w:val="21"/>
        </w:rPr>
        <w:t>第九章  公开招标失败的后续处理</w:t>
      </w:r>
    </w:p>
    <w:p w14:paraId="343ACD3B">
      <w:pPr>
        <w:ind w:left="630" w:leftChars="300" w:firstLine="411" w:firstLineChars="196"/>
        <w:rPr>
          <w:rFonts w:ascii="宋体" w:hAnsi="宋体"/>
          <w:szCs w:val="21"/>
        </w:rPr>
      </w:pPr>
      <w:r>
        <w:rPr>
          <w:rFonts w:hint="eastAsia" w:ascii="宋体" w:hAnsi="宋体"/>
          <w:szCs w:val="21"/>
        </w:rPr>
        <w:t>第十章  合同的授予与备案</w:t>
      </w:r>
    </w:p>
    <w:p w14:paraId="18A8F674">
      <w:pPr>
        <w:ind w:left="630" w:leftChars="300" w:firstLine="411" w:firstLineChars="196"/>
        <w:rPr>
          <w:rFonts w:ascii="宋体" w:hAnsi="宋体"/>
          <w:szCs w:val="21"/>
        </w:rPr>
      </w:pPr>
      <w:r>
        <w:rPr>
          <w:rFonts w:hint="eastAsia" w:ascii="宋体" w:hAnsi="宋体"/>
          <w:szCs w:val="21"/>
        </w:rPr>
        <w:t>第十一章  质疑处理</w:t>
      </w:r>
    </w:p>
    <w:p w14:paraId="55568E52">
      <w:pPr>
        <w:rPr>
          <w:rFonts w:ascii="Times New Roman" w:hAnsi="Times New Roman"/>
          <w:sz w:val="24"/>
          <w:szCs w:val="24"/>
        </w:rPr>
      </w:pPr>
    </w:p>
    <w:p w14:paraId="09E2FAF5">
      <w:pPr>
        <w:rPr>
          <w:rFonts w:ascii="Times New Roman" w:hAnsi="Times New Roman"/>
          <w:b/>
          <w:szCs w:val="24"/>
        </w:rPr>
      </w:pPr>
      <w:r>
        <w:rPr>
          <w:rFonts w:hint="eastAsia" w:ascii="Times New Roman" w:hAnsi="Times New Roman"/>
          <w:b/>
          <w:szCs w:val="24"/>
        </w:rPr>
        <w:t>备注：</w:t>
      </w:r>
    </w:p>
    <w:p w14:paraId="0D0E1E5F">
      <w:pPr>
        <w:ind w:firstLine="420" w:firstLineChars="200"/>
        <w:rPr>
          <w:rFonts w:ascii="Times New Roman" w:hAnsi="Times New Roman"/>
          <w:b/>
          <w:szCs w:val="24"/>
        </w:rPr>
      </w:pPr>
      <w:r>
        <w:rPr>
          <w:rFonts w:hint="eastAsia" w:ascii="宋体" w:hAnsi="宋体"/>
          <w:szCs w:val="21"/>
        </w:rPr>
        <w:t>1.本招标文件分为第一册“专用条款”和第二册“通用条款”。</w:t>
      </w:r>
    </w:p>
    <w:p w14:paraId="773E4F46">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2.“专用条款”是对本次采购项目的具体要求，包含招标公告、招标项目需求、投标文件格式、合同及履约情况反馈格式等内容。</w:t>
      </w:r>
    </w:p>
    <w:p w14:paraId="1F8B91FF">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14:paraId="4837EC06">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14:paraId="2096DDC6">
      <w:pPr>
        <w:rPr>
          <w:rFonts w:ascii="宋体" w:hAnsi="宋体"/>
          <w:szCs w:val="21"/>
        </w:rPr>
      </w:pPr>
    </w:p>
    <w:p w14:paraId="1383F5D9">
      <w:pPr>
        <w:widowControl/>
        <w:jc w:val="left"/>
        <w:rPr>
          <w:rFonts w:ascii="宋体" w:hAnsi="宋体" w:eastAsia="黑体"/>
          <w:b/>
          <w:bCs/>
          <w:kern w:val="44"/>
          <w:sz w:val="28"/>
          <w:szCs w:val="44"/>
        </w:rPr>
      </w:pPr>
      <w:r>
        <w:rPr>
          <w:rFonts w:ascii="Times New Roman" w:hAnsi="Times New Roman"/>
          <w:szCs w:val="24"/>
        </w:rPr>
        <w:br w:type="page"/>
      </w:r>
    </w:p>
    <w:p w14:paraId="73385FB0">
      <w:pPr>
        <w:keepNext/>
        <w:keepLines/>
        <w:spacing w:before="340" w:after="330" w:line="360" w:lineRule="auto"/>
        <w:jc w:val="center"/>
        <w:outlineLvl w:val="0"/>
        <w:rPr>
          <w:rFonts w:ascii="宋体" w:hAnsi="宋体" w:eastAsia="黑体"/>
          <w:b/>
          <w:bCs/>
          <w:kern w:val="44"/>
          <w:sz w:val="24"/>
          <w:szCs w:val="44"/>
        </w:rPr>
      </w:pPr>
      <w:r>
        <w:rPr>
          <w:rFonts w:hint="eastAsia" w:ascii="宋体" w:hAnsi="宋体" w:eastAsia="黑体"/>
          <w:b/>
          <w:bCs/>
          <w:kern w:val="44"/>
          <w:sz w:val="28"/>
          <w:szCs w:val="44"/>
        </w:rPr>
        <w:t>第一册  专用条款</w:t>
      </w:r>
    </w:p>
    <w:p w14:paraId="69B1FA93">
      <w:pPr>
        <w:keepNext/>
        <w:keepLines/>
        <w:adjustRightInd w:val="0"/>
        <w:spacing w:before="260" w:after="260" w:line="360" w:lineRule="exact"/>
        <w:jc w:val="center"/>
        <w:textAlignment w:val="baseline"/>
        <w:outlineLvl w:val="1"/>
        <w:rPr>
          <w:rFonts w:ascii="宋体" w:hAnsi="宋体"/>
          <w:b/>
          <w:bCs/>
          <w:kern w:val="0"/>
          <w:sz w:val="24"/>
          <w:szCs w:val="20"/>
        </w:rPr>
      </w:pPr>
      <w:r>
        <w:rPr>
          <w:rFonts w:hint="eastAsia" w:ascii="宋体" w:hAnsi="宋体"/>
          <w:b/>
          <w:bCs/>
          <w:kern w:val="0"/>
          <w:sz w:val="24"/>
          <w:szCs w:val="20"/>
        </w:rPr>
        <w:t>第一章  招标公告</w:t>
      </w:r>
    </w:p>
    <w:p w14:paraId="04C54262">
      <w:pPr>
        <w:spacing w:line="360" w:lineRule="exact"/>
        <w:rPr>
          <w:rFonts w:ascii="宋体" w:hAnsi="宋体"/>
          <w:vanish/>
          <w:szCs w:val="21"/>
        </w:rPr>
      </w:pPr>
    </w:p>
    <w:p w14:paraId="1664954A">
      <w:pPr>
        <w:widowControl/>
        <w:spacing w:line="360" w:lineRule="exact"/>
        <w:rPr>
          <w:rFonts w:ascii="宋体" w:hAnsi="宋体"/>
          <w:szCs w:val="24"/>
        </w:rPr>
      </w:pPr>
      <w:bookmarkStart w:id="0" w:name="OLE_LINK1"/>
      <w:bookmarkStart w:id="1" w:name="OLE_LINK2"/>
      <w:r>
        <w:rPr>
          <w:rFonts w:ascii="宋体" w:hAnsi="宋体"/>
          <w:szCs w:val="24"/>
        </w:rPr>
        <w:t>项目概况</w:t>
      </w:r>
      <w:r>
        <w:rPr>
          <w:rFonts w:hint="eastAsia" w:ascii="宋体" w:hAnsi="宋体"/>
          <w:szCs w:val="24"/>
        </w:rPr>
        <w:t>:</w:t>
      </w:r>
    </w:p>
    <w:p w14:paraId="1C80E479">
      <w:pPr>
        <w:widowControl/>
        <w:spacing w:line="360" w:lineRule="exact"/>
        <w:ind w:firstLine="424" w:firstLineChars="202"/>
        <w:rPr>
          <w:rFonts w:ascii="宋体" w:hAnsi="宋体"/>
          <w:szCs w:val="24"/>
        </w:rPr>
      </w:pPr>
      <w:r>
        <w:rPr>
          <w:rFonts w:hint="eastAsia" w:asciiTheme="minorEastAsia" w:hAnsiTheme="minorEastAsia" w:eastAsiaTheme="minorEastAsia"/>
          <w:szCs w:val="24"/>
        </w:rPr>
        <w:t>农轩100大院食堂食材配送招标项目</w:t>
      </w:r>
      <w:r>
        <w:rPr>
          <w:rFonts w:ascii="宋体" w:hAnsi="宋体"/>
          <w:szCs w:val="24"/>
        </w:rPr>
        <w:t xml:space="preserve">的潜在投标人应在（本公告附件中）获取招标文件，并于 </w:t>
      </w:r>
      <w:r>
        <w:rPr>
          <w:rFonts w:ascii="宋体" w:hAnsi="宋体"/>
          <w:b/>
          <w:szCs w:val="24"/>
          <w:u w:val="single"/>
        </w:rPr>
        <w:t>202</w:t>
      </w:r>
      <w:r>
        <w:rPr>
          <w:rFonts w:hint="eastAsia" w:ascii="宋体" w:hAnsi="宋体"/>
          <w:b/>
          <w:szCs w:val="24"/>
          <w:u w:val="single"/>
          <w:lang w:val="en-US" w:eastAsia="zh-CN"/>
        </w:rPr>
        <w:t>5</w:t>
      </w:r>
      <w:r>
        <w:rPr>
          <w:rFonts w:ascii="宋体" w:hAnsi="宋体"/>
          <w:b/>
          <w:szCs w:val="24"/>
          <w:u w:val="single"/>
        </w:rPr>
        <w:t>年</w:t>
      </w:r>
      <w:r>
        <w:rPr>
          <w:rFonts w:hint="eastAsia" w:ascii="宋体" w:hAnsi="宋体"/>
          <w:b/>
          <w:szCs w:val="24"/>
          <w:u w:val="single"/>
          <w:lang w:val="en-US" w:eastAsia="zh-CN"/>
        </w:rPr>
        <w:t>01</w:t>
      </w:r>
      <w:r>
        <w:rPr>
          <w:rFonts w:ascii="宋体" w:hAnsi="宋体"/>
          <w:b/>
          <w:szCs w:val="24"/>
          <w:u w:val="single"/>
        </w:rPr>
        <w:t>月</w:t>
      </w:r>
      <w:r>
        <w:rPr>
          <w:rFonts w:hint="eastAsia" w:ascii="宋体" w:hAnsi="宋体"/>
          <w:b/>
          <w:szCs w:val="24"/>
          <w:u w:val="single"/>
          <w:lang w:val="en-US" w:eastAsia="zh-CN"/>
        </w:rPr>
        <w:t>21</w:t>
      </w:r>
      <w:r>
        <w:rPr>
          <w:rFonts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w:t>
      </w:r>
      <w:r>
        <w:rPr>
          <w:rFonts w:ascii="宋体" w:hAnsi="宋体"/>
          <w:b/>
          <w:szCs w:val="24"/>
          <w:u w:val="single"/>
        </w:rPr>
        <w:t>（北京时间）</w:t>
      </w:r>
      <w:r>
        <w:rPr>
          <w:rFonts w:ascii="宋体" w:hAnsi="宋体"/>
          <w:szCs w:val="24"/>
        </w:rPr>
        <w:t xml:space="preserve">前递交投标文件。 </w:t>
      </w:r>
    </w:p>
    <w:p w14:paraId="6A892D4D">
      <w:pPr>
        <w:widowControl/>
        <w:spacing w:line="360" w:lineRule="exact"/>
        <w:rPr>
          <w:rFonts w:ascii="宋体" w:hAnsi="宋体"/>
          <w:szCs w:val="24"/>
        </w:rPr>
      </w:pPr>
    </w:p>
    <w:p w14:paraId="74B5EF95">
      <w:pPr>
        <w:widowControl/>
        <w:spacing w:line="360" w:lineRule="exact"/>
        <w:rPr>
          <w:rFonts w:ascii="宋体" w:hAnsi="宋体"/>
          <w:szCs w:val="24"/>
        </w:rPr>
      </w:pPr>
      <w:r>
        <w:rPr>
          <w:rFonts w:ascii="宋体" w:hAnsi="宋体"/>
          <w:szCs w:val="24"/>
        </w:rPr>
        <w:t>一、项目基本情况</w:t>
      </w:r>
    </w:p>
    <w:p w14:paraId="3A89FE9B">
      <w:pPr>
        <w:widowControl/>
        <w:spacing w:line="360" w:lineRule="exact"/>
        <w:ind w:firstLine="424" w:firstLineChars="202"/>
        <w:rPr>
          <w:rFonts w:hint="eastAsia" w:ascii="宋体" w:hAnsi="宋体" w:eastAsia="宋体"/>
          <w:szCs w:val="21"/>
          <w:lang w:eastAsia="zh-CN"/>
        </w:rPr>
      </w:pPr>
      <w:r>
        <w:rPr>
          <w:rFonts w:ascii="宋体" w:hAnsi="宋体"/>
          <w:szCs w:val="21"/>
        </w:rPr>
        <w:t>1</w:t>
      </w:r>
      <w:r>
        <w:rPr>
          <w:rFonts w:hint="eastAsia" w:ascii="宋体" w:hAnsi="宋体"/>
          <w:szCs w:val="21"/>
        </w:rPr>
        <w:t>、</w:t>
      </w:r>
      <w:r>
        <w:rPr>
          <w:rFonts w:ascii="宋体" w:hAnsi="宋体"/>
          <w:szCs w:val="21"/>
        </w:rPr>
        <w:t>项目编号：</w:t>
      </w:r>
      <w:r>
        <w:rPr>
          <w:rFonts w:hint="eastAsia" w:ascii="宋体" w:hAnsi="宋体"/>
          <w:szCs w:val="21"/>
          <w:lang w:eastAsia="zh-CN"/>
        </w:rPr>
        <w:t>SZDL2024002341</w:t>
      </w:r>
    </w:p>
    <w:p w14:paraId="39E85ACE">
      <w:pPr>
        <w:widowControl/>
        <w:spacing w:line="360" w:lineRule="exact"/>
        <w:ind w:firstLine="424" w:firstLineChars="202"/>
        <w:rPr>
          <w:rFonts w:ascii="宋体" w:hAnsi="宋体"/>
          <w:szCs w:val="21"/>
        </w:rPr>
      </w:pPr>
      <w:r>
        <w:rPr>
          <w:rFonts w:ascii="宋体" w:hAnsi="宋体"/>
          <w:szCs w:val="21"/>
        </w:rPr>
        <w:t>2</w:t>
      </w:r>
      <w:r>
        <w:rPr>
          <w:rFonts w:hint="eastAsia" w:ascii="宋体" w:hAnsi="宋体"/>
          <w:szCs w:val="21"/>
        </w:rPr>
        <w:t>、</w:t>
      </w:r>
      <w:r>
        <w:rPr>
          <w:rFonts w:ascii="宋体" w:hAnsi="宋体"/>
          <w:szCs w:val="21"/>
        </w:rPr>
        <w:t>项目名称：</w:t>
      </w:r>
      <w:r>
        <w:rPr>
          <w:rFonts w:hint="eastAsia" w:ascii="宋体" w:hAnsi="宋体"/>
          <w:szCs w:val="21"/>
        </w:rPr>
        <w:t>农轩100大院食堂食材配送</w:t>
      </w:r>
    </w:p>
    <w:p w14:paraId="52F0F8F5">
      <w:pPr>
        <w:widowControl/>
        <w:spacing w:line="360" w:lineRule="exact"/>
        <w:ind w:firstLine="424" w:firstLineChars="202"/>
        <w:rPr>
          <w:rFonts w:ascii="宋体" w:hAnsi="宋体"/>
          <w:szCs w:val="21"/>
        </w:rPr>
      </w:pPr>
      <w:r>
        <w:rPr>
          <w:rFonts w:ascii="宋体" w:hAnsi="宋体"/>
          <w:szCs w:val="21"/>
        </w:rPr>
        <w:t>3</w:t>
      </w:r>
      <w:r>
        <w:rPr>
          <w:rFonts w:hint="eastAsia" w:ascii="宋体" w:hAnsi="宋体"/>
          <w:szCs w:val="21"/>
        </w:rPr>
        <w:t>、</w:t>
      </w:r>
      <w:r>
        <w:rPr>
          <w:rFonts w:ascii="宋体" w:hAnsi="宋体"/>
          <w:szCs w:val="21"/>
        </w:rPr>
        <w:t>预算金额：</w:t>
      </w:r>
      <w:r>
        <w:rPr>
          <w:rFonts w:hint="eastAsia" w:ascii="宋体" w:hAnsi="宋体"/>
          <w:szCs w:val="21"/>
        </w:rPr>
        <w:t>人民币3,311,000.00</w:t>
      </w:r>
      <w:r>
        <w:rPr>
          <w:rFonts w:ascii="宋体" w:hAnsi="宋体"/>
          <w:szCs w:val="21"/>
        </w:rPr>
        <w:t>元</w:t>
      </w:r>
    </w:p>
    <w:p w14:paraId="0C693B59">
      <w:pPr>
        <w:widowControl/>
        <w:spacing w:line="360" w:lineRule="exact"/>
        <w:ind w:firstLine="424" w:firstLineChars="202"/>
        <w:rPr>
          <w:rFonts w:ascii="宋体" w:hAnsi="宋体"/>
          <w:szCs w:val="21"/>
        </w:rPr>
      </w:pPr>
      <w:r>
        <w:rPr>
          <w:rFonts w:ascii="宋体" w:hAnsi="宋体"/>
          <w:szCs w:val="21"/>
        </w:rPr>
        <w:t>4</w:t>
      </w:r>
      <w:r>
        <w:rPr>
          <w:rFonts w:hint="eastAsia" w:ascii="宋体" w:hAnsi="宋体"/>
          <w:szCs w:val="21"/>
        </w:rPr>
        <w:t>、</w:t>
      </w:r>
      <w:r>
        <w:rPr>
          <w:rFonts w:ascii="宋体" w:hAnsi="宋体"/>
          <w:szCs w:val="21"/>
        </w:rPr>
        <w:t>最高限价：</w:t>
      </w:r>
      <w:r>
        <w:rPr>
          <w:rFonts w:hint="eastAsia" w:ascii="宋体" w:hAnsi="宋体"/>
          <w:szCs w:val="21"/>
        </w:rPr>
        <w:t>人民币3,311,000.00</w:t>
      </w:r>
      <w:r>
        <w:rPr>
          <w:rFonts w:ascii="宋体" w:hAnsi="宋体"/>
          <w:szCs w:val="21"/>
        </w:rPr>
        <w:t>元</w:t>
      </w:r>
    </w:p>
    <w:p w14:paraId="7DF2A290">
      <w:pPr>
        <w:widowControl/>
        <w:spacing w:line="360" w:lineRule="exact"/>
        <w:ind w:firstLine="424" w:firstLineChars="202"/>
        <w:rPr>
          <w:rFonts w:ascii="宋体" w:hAnsi="宋体"/>
          <w:szCs w:val="21"/>
        </w:rPr>
      </w:pPr>
      <w:r>
        <w:rPr>
          <w:rFonts w:ascii="宋体" w:hAnsi="宋体"/>
          <w:szCs w:val="21"/>
        </w:rPr>
        <w:t>5</w:t>
      </w:r>
      <w:r>
        <w:rPr>
          <w:rFonts w:hint="eastAsia" w:ascii="宋体" w:hAnsi="宋体"/>
          <w:szCs w:val="21"/>
        </w:rPr>
        <w:t>、</w:t>
      </w:r>
      <w:r>
        <w:rPr>
          <w:rFonts w:ascii="宋体" w:hAnsi="宋体"/>
          <w:szCs w:val="21"/>
        </w:rPr>
        <w:t>采购需求：</w:t>
      </w:r>
    </w:p>
    <w:tbl>
      <w:tblPr>
        <w:tblStyle w:val="44"/>
        <w:tblW w:w="9214"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261"/>
        <w:gridCol w:w="850"/>
        <w:gridCol w:w="992"/>
        <w:gridCol w:w="2694"/>
        <w:gridCol w:w="1417"/>
      </w:tblGrid>
      <w:tr w14:paraId="0E6EAFD0">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5107725F">
            <w:pPr>
              <w:widowControl/>
              <w:spacing w:line="360" w:lineRule="exact"/>
              <w:jc w:val="center"/>
              <w:rPr>
                <w:rFonts w:ascii="宋体" w:hAnsi="宋体" w:cs="宋体"/>
                <w:szCs w:val="21"/>
              </w:rPr>
            </w:pPr>
            <w:r>
              <w:rPr>
                <w:rFonts w:hint="eastAsia" w:ascii="宋体" w:hAnsi="宋体" w:cs="宋体"/>
                <w:szCs w:val="21"/>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705EBB3">
            <w:pPr>
              <w:widowControl/>
              <w:spacing w:line="360" w:lineRule="exact"/>
              <w:jc w:val="center"/>
              <w:rPr>
                <w:rFonts w:ascii="宋体" w:hAnsi="宋体" w:cs="宋体"/>
                <w:szCs w:val="21"/>
              </w:rPr>
            </w:pPr>
            <w:r>
              <w:rPr>
                <w:rFonts w:hint="eastAsia" w:ascii="宋体" w:hAnsi="宋体" w:cs="宋体"/>
                <w:szCs w:val="21"/>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1ED632F4">
            <w:pPr>
              <w:widowControl/>
              <w:spacing w:line="360" w:lineRule="exact"/>
              <w:jc w:val="center"/>
              <w:rPr>
                <w:rFonts w:ascii="宋体" w:hAnsi="宋体" w:cs="宋体"/>
                <w:szCs w:val="21"/>
              </w:rPr>
            </w:pPr>
            <w:r>
              <w:rPr>
                <w:rFonts w:hint="eastAsia" w:ascii="宋体" w:hAnsi="宋体" w:cs="宋体"/>
                <w:szCs w:val="21"/>
              </w:rPr>
              <w:t>单位</w:t>
            </w:r>
          </w:p>
        </w:tc>
        <w:tc>
          <w:tcPr>
            <w:tcW w:w="269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4366BEE">
            <w:pPr>
              <w:widowControl/>
              <w:spacing w:line="360" w:lineRule="exact"/>
              <w:jc w:val="center"/>
              <w:rPr>
                <w:rFonts w:ascii="宋体" w:hAnsi="宋体" w:cs="宋体"/>
                <w:szCs w:val="21"/>
              </w:rPr>
            </w:pPr>
            <w:r>
              <w:rPr>
                <w:rFonts w:hint="eastAsia" w:ascii="宋体" w:hAnsi="宋体" w:cs="宋体"/>
                <w:szCs w:val="21"/>
              </w:rPr>
              <w:t>简要技术需求或服务要求</w:t>
            </w:r>
          </w:p>
        </w:tc>
        <w:tc>
          <w:tcPr>
            <w:tcW w:w="1417"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097C30E6">
            <w:pPr>
              <w:widowControl/>
              <w:spacing w:line="360" w:lineRule="exact"/>
              <w:jc w:val="center"/>
              <w:rPr>
                <w:rFonts w:ascii="宋体" w:hAnsi="宋体" w:cs="宋体"/>
                <w:szCs w:val="21"/>
              </w:rPr>
            </w:pPr>
            <w:r>
              <w:rPr>
                <w:rFonts w:hint="eastAsia" w:ascii="宋体" w:hAnsi="宋体" w:cs="宋体"/>
                <w:szCs w:val="21"/>
              </w:rPr>
              <w:t>备注</w:t>
            </w:r>
          </w:p>
        </w:tc>
      </w:tr>
      <w:tr w14:paraId="00B380B6">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14:paraId="138D4DDA">
            <w:pPr>
              <w:widowControl/>
              <w:spacing w:line="360" w:lineRule="exact"/>
              <w:jc w:val="center"/>
              <w:rPr>
                <w:rFonts w:ascii="宋体" w:hAnsi="宋体" w:cs="宋体"/>
                <w:szCs w:val="21"/>
              </w:rPr>
            </w:pPr>
            <w:r>
              <w:rPr>
                <w:rFonts w:hint="eastAsia" w:ascii="宋体" w:hAnsi="宋体" w:cs="宋体"/>
                <w:szCs w:val="21"/>
              </w:rPr>
              <w:t>农轩100大院食堂食材配送</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7F2E7348">
            <w:pPr>
              <w:spacing w:line="360" w:lineRule="exact"/>
              <w:jc w:val="center"/>
              <w:rPr>
                <w:rFonts w:ascii="宋体" w:hAnsi="宋体" w:cs="宋体"/>
                <w:szCs w:val="21"/>
              </w:rPr>
            </w:pPr>
            <w:r>
              <w:rPr>
                <w:rFonts w:hint="eastAsia" w:ascii="宋体" w:hAnsi="宋体" w:cs="宋体"/>
                <w:szCs w:val="21"/>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5CE3D35">
            <w:pPr>
              <w:spacing w:line="360" w:lineRule="exact"/>
              <w:jc w:val="center"/>
              <w:rPr>
                <w:rFonts w:ascii="宋体" w:hAnsi="宋体" w:cs="宋体"/>
                <w:szCs w:val="21"/>
              </w:rPr>
            </w:pPr>
            <w:r>
              <w:rPr>
                <w:rFonts w:hint="eastAsia" w:ascii="宋体" w:hAnsi="宋体" w:cs="宋体"/>
                <w:szCs w:val="21"/>
              </w:rPr>
              <w:t>项</w:t>
            </w:r>
          </w:p>
        </w:tc>
        <w:tc>
          <w:tcPr>
            <w:tcW w:w="2694" w:type="dxa"/>
            <w:tcBorders>
              <w:top w:val="outset" w:color="AAAAAA" w:sz="6" w:space="0"/>
              <w:left w:val="outset" w:color="AAAAAA" w:sz="6" w:space="0"/>
              <w:bottom w:val="outset" w:color="AAAAAA" w:sz="6" w:space="0"/>
              <w:right w:val="outset" w:color="AAAAAA" w:sz="6" w:space="0"/>
            </w:tcBorders>
            <w:shd w:val="clear" w:color="auto" w:fill="auto"/>
            <w:vAlign w:val="center"/>
          </w:tcPr>
          <w:p w14:paraId="3DE058D5">
            <w:pPr>
              <w:spacing w:line="360" w:lineRule="exact"/>
              <w:jc w:val="center"/>
              <w:rPr>
                <w:rFonts w:ascii="宋体" w:hAnsi="宋体" w:cs="宋体"/>
                <w:szCs w:val="21"/>
              </w:rPr>
            </w:pPr>
            <w:r>
              <w:rPr>
                <w:rFonts w:hint="eastAsia" w:ascii="宋体" w:hAnsi="宋体" w:cs="宋体"/>
                <w:szCs w:val="21"/>
              </w:rPr>
              <w:t>详见招标文件</w:t>
            </w:r>
          </w:p>
        </w:tc>
        <w:tc>
          <w:tcPr>
            <w:tcW w:w="1417" w:type="dxa"/>
            <w:tcBorders>
              <w:top w:val="outset" w:color="AAAAAA" w:sz="6" w:space="0"/>
              <w:left w:val="outset" w:color="AAAAAA" w:sz="6" w:space="0"/>
              <w:bottom w:val="outset" w:color="AAAAAA" w:sz="6" w:space="0"/>
              <w:right w:val="outset" w:color="AAAAAA" w:sz="6" w:space="0"/>
            </w:tcBorders>
            <w:shd w:val="clear" w:color="auto" w:fill="auto"/>
            <w:vAlign w:val="center"/>
          </w:tcPr>
          <w:p w14:paraId="296C2957">
            <w:pPr>
              <w:widowControl/>
              <w:spacing w:line="360" w:lineRule="exact"/>
              <w:jc w:val="center"/>
              <w:rPr>
                <w:rFonts w:ascii="宋体" w:hAnsi="宋体" w:cs="宋体"/>
                <w:szCs w:val="21"/>
              </w:rPr>
            </w:pPr>
            <w:r>
              <w:rPr>
                <w:rFonts w:hint="eastAsia" w:ascii="宋体" w:hAnsi="宋体" w:cs="宋体"/>
                <w:szCs w:val="21"/>
              </w:rPr>
              <w:t>无</w:t>
            </w:r>
          </w:p>
        </w:tc>
      </w:tr>
    </w:tbl>
    <w:p w14:paraId="6F2FDBA4">
      <w:pPr>
        <w:widowControl/>
        <w:spacing w:line="360" w:lineRule="exact"/>
        <w:ind w:firstLine="424" w:firstLineChars="202"/>
        <w:rPr>
          <w:rFonts w:ascii="宋体" w:hAnsi="宋体"/>
          <w:szCs w:val="21"/>
        </w:rPr>
      </w:pPr>
      <w:r>
        <w:rPr>
          <w:rFonts w:ascii="宋体" w:hAnsi="宋体"/>
          <w:szCs w:val="21"/>
        </w:rPr>
        <w:t>6</w:t>
      </w:r>
      <w:r>
        <w:rPr>
          <w:rFonts w:hint="eastAsia" w:ascii="宋体" w:hAnsi="宋体"/>
          <w:szCs w:val="21"/>
        </w:rPr>
        <w:t>、</w:t>
      </w:r>
      <w:r>
        <w:rPr>
          <w:rFonts w:ascii="宋体" w:hAnsi="宋体"/>
          <w:szCs w:val="21"/>
        </w:rPr>
        <w:t>合同履行期限：</w:t>
      </w:r>
      <w:r>
        <w:rPr>
          <w:rFonts w:hint="eastAsia" w:asciiTheme="minorEastAsia" w:hAnsiTheme="minorEastAsia" w:eastAsiaTheme="minorEastAsia"/>
          <w:szCs w:val="21"/>
        </w:rPr>
        <w:t>详见招标文件</w:t>
      </w:r>
    </w:p>
    <w:p w14:paraId="7C3569D8">
      <w:pPr>
        <w:widowControl/>
        <w:spacing w:line="360" w:lineRule="exact"/>
        <w:ind w:firstLine="424" w:firstLineChars="202"/>
        <w:rPr>
          <w:rFonts w:ascii="宋体" w:hAnsi="宋体"/>
          <w:szCs w:val="21"/>
        </w:rPr>
      </w:pPr>
      <w:r>
        <w:rPr>
          <w:rFonts w:ascii="宋体" w:hAnsi="宋体"/>
          <w:szCs w:val="21"/>
        </w:rPr>
        <w:t>7</w:t>
      </w:r>
      <w:r>
        <w:rPr>
          <w:rFonts w:hint="eastAsia" w:ascii="宋体" w:hAnsi="宋体"/>
          <w:szCs w:val="21"/>
        </w:rPr>
        <w:t>、本项目（是/否）接受联合体投标：详见“申请人的资格要求”</w:t>
      </w:r>
    </w:p>
    <w:p w14:paraId="666D14DA">
      <w:pPr>
        <w:widowControl/>
        <w:spacing w:line="360" w:lineRule="exact"/>
        <w:rPr>
          <w:rFonts w:ascii="宋体" w:hAnsi="宋体"/>
          <w:szCs w:val="21"/>
        </w:rPr>
      </w:pPr>
    </w:p>
    <w:p w14:paraId="3DEF9A3E">
      <w:pPr>
        <w:widowControl/>
        <w:spacing w:line="360" w:lineRule="exact"/>
        <w:rPr>
          <w:rFonts w:ascii="宋体" w:hAnsi="宋体"/>
          <w:szCs w:val="24"/>
        </w:rPr>
      </w:pPr>
      <w:r>
        <w:rPr>
          <w:rFonts w:ascii="宋体" w:hAnsi="宋体"/>
          <w:szCs w:val="24"/>
        </w:rPr>
        <w:t>二、申请人的资格要求：</w:t>
      </w:r>
    </w:p>
    <w:p w14:paraId="76A4A57C">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1</w:t>
      </w:r>
      <w:r>
        <w:rPr>
          <w:rFonts w:hint="eastAsia" w:asciiTheme="minorEastAsia" w:hAnsiTheme="minorEastAsia" w:eastAsiaTheme="minorEastAsia"/>
          <w:szCs w:val="24"/>
        </w:rPr>
        <w:t>、</w:t>
      </w:r>
      <w:r>
        <w:rPr>
          <w:rFonts w:asciiTheme="minorEastAsia" w:hAnsiTheme="minorEastAsia" w:eastAsiaTheme="minorEastAsia"/>
          <w:szCs w:val="24"/>
        </w:rPr>
        <w:t>满足《中华人民共和国政府采购法》第二十二条规定</w:t>
      </w:r>
      <w:r>
        <w:rPr>
          <w:rFonts w:hint="eastAsia" w:asciiTheme="minorEastAsia" w:hAnsiTheme="minorEastAsia" w:eastAsiaTheme="minorEastAsia"/>
          <w:snapToGrid w:val="0"/>
          <w:szCs w:val="24"/>
        </w:rPr>
        <w:t>（须提供具有独立承担民事责任能力的法人或其他组织的营业执照或法人证书等证明材料扫描件以及《</w:t>
      </w:r>
      <w:r>
        <w:rPr>
          <w:rFonts w:hint="eastAsia" w:asciiTheme="minorEastAsia" w:hAnsiTheme="minorEastAsia" w:eastAsiaTheme="minorEastAsia"/>
          <w:szCs w:val="24"/>
        </w:rPr>
        <w:t>政府采购投标及履约承诺函</w:t>
      </w:r>
      <w:r>
        <w:rPr>
          <w:rFonts w:hint="eastAsia" w:asciiTheme="minorEastAsia" w:hAnsiTheme="minorEastAsia" w:eastAsiaTheme="minorEastAsia"/>
          <w:snapToGrid w:val="0"/>
          <w:szCs w:val="24"/>
        </w:rPr>
        <w:t>》）</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营业执照或法人证书等证明材料扫描件</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zCs w:val="24"/>
        </w:rPr>
        <w:t>。</w:t>
      </w:r>
    </w:p>
    <w:p w14:paraId="5E5592E3">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2</w:t>
      </w:r>
      <w:r>
        <w:rPr>
          <w:rFonts w:hint="eastAsia" w:asciiTheme="minorEastAsia" w:hAnsiTheme="minorEastAsia" w:eastAsiaTheme="minorEastAsia"/>
          <w:szCs w:val="24"/>
        </w:rPr>
        <w:t>、</w:t>
      </w:r>
      <w:r>
        <w:rPr>
          <w:rFonts w:asciiTheme="minorEastAsia" w:hAnsiTheme="minorEastAsia" w:eastAsiaTheme="minorEastAsia"/>
          <w:szCs w:val="24"/>
        </w:rPr>
        <w:t>落实政府采购政策需满足的资格要求：</w:t>
      </w:r>
      <w:r>
        <w:rPr>
          <w:rFonts w:hint="eastAsia" w:ascii="宋体" w:hAnsi="宋体" w:eastAsiaTheme="minorEastAsia"/>
          <w:szCs w:val="24"/>
        </w:rPr>
        <w:t>无。</w:t>
      </w:r>
      <w:r>
        <w:rPr>
          <w:rFonts w:asciiTheme="minorEastAsia" w:hAnsiTheme="minorEastAsia" w:eastAsiaTheme="minorEastAsia"/>
          <w:szCs w:val="24"/>
        </w:rPr>
        <w:t xml:space="preserve"> </w:t>
      </w:r>
    </w:p>
    <w:p w14:paraId="727838EB">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3</w:t>
      </w:r>
      <w:r>
        <w:rPr>
          <w:rFonts w:hint="eastAsia" w:asciiTheme="minorEastAsia" w:hAnsiTheme="minorEastAsia" w:eastAsiaTheme="minorEastAsia"/>
          <w:szCs w:val="24"/>
        </w:rPr>
        <w:t>、</w:t>
      </w:r>
      <w:r>
        <w:rPr>
          <w:rFonts w:asciiTheme="minorEastAsia" w:hAnsiTheme="minorEastAsia" w:eastAsiaTheme="minorEastAsia"/>
          <w:szCs w:val="24"/>
        </w:rPr>
        <w:t>本项目的特定资格要求：</w:t>
      </w:r>
    </w:p>
    <w:p w14:paraId="25CF215E">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napToGrid w:val="0"/>
          <w:szCs w:val="24"/>
        </w:rPr>
        <w:t>参与本项目采购活动前三年内，在经营活动中没有重大违法记录</w:t>
      </w:r>
      <w:r>
        <w:rPr>
          <w:rFonts w:hint="eastAsia" w:asciiTheme="minorEastAsia" w:hAnsiTheme="minorEastAsia" w:eastAsiaTheme="minorEastAsia"/>
          <w:szCs w:val="24"/>
        </w:rPr>
        <w:t>（须按本项目投标文件格式要求提供《政府采购投标及履约承诺函》）；</w:t>
      </w:r>
    </w:p>
    <w:p w14:paraId="5E790770">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napToGrid w:val="0"/>
          <w:szCs w:val="24"/>
        </w:rPr>
        <w:t>参与本项目政府采购活动时不存在被有关部门禁止参与政府采购活动且在有效期内的情况</w:t>
      </w:r>
      <w:r>
        <w:rPr>
          <w:rFonts w:hint="eastAsia" w:asciiTheme="minorEastAsia" w:hAnsiTheme="minorEastAsia" w:eastAsiaTheme="minorEastAsia"/>
          <w:szCs w:val="24"/>
        </w:rPr>
        <w:t>（须按本项目投标文件格式要求提供《政府采购投标及履约承诺函》）；</w:t>
      </w:r>
    </w:p>
    <w:p w14:paraId="2F911A9A">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napToGrid w:val="0"/>
          <w:szCs w:val="24"/>
        </w:rPr>
        <w:t>单位负责人为同一人或者存在直接控股、管理关系的不同供应商，不得参加同一合同项下</w:t>
      </w:r>
      <w:r>
        <w:rPr>
          <w:rFonts w:hint="eastAsia" w:asciiTheme="minorEastAsia" w:hAnsiTheme="minorEastAsia" w:eastAsiaTheme="minorEastAsia"/>
          <w:szCs w:val="24"/>
        </w:rPr>
        <w:t>的政府采购活动</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asciiTheme="minorEastAsia" w:hAnsiTheme="minorEastAsia" w:eastAsiaTheme="minorEastAsia"/>
          <w:szCs w:val="24"/>
        </w:rPr>
        <w:t>（须按本项目投标文件格式要求提供《政府采购投标及履约承诺函》）；</w:t>
      </w:r>
    </w:p>
    <w:p w14:paraId="0B1563C6">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（4）</w:t>
      </w:r>
      <w:r>
        <w:rPr>
          <w:rFonts w:hint="eastAsia" w:asciiTheme="minorEastAsia" w:hAnsiTheme="minorEastAsia" w:eastAsiaTheme="minorEastAsia"/>
          <w:snapToGrid w:val="0"/>
          <w:szCs w:val="24"/>
        </w:rPr>
        <w:t>除单一来源采购项目外，为采购项目提供整体设计、规范编制或者项目管理、监理、检测等</w:t>
      </w:r>
      <w:r>
        <w:rPr>
          <w:rFonts w:hint="eastAsia" w:asciiTheme="minorEastAsia" w:hAnsiTheme="minorEastAsia" w:eastAsiaTheme="minorEastAsia"/>
          <w:szCs w:val="24"/>
        </w:rPr>
        <w:t>服务的供应商，不得再参加该采购项目的其他采购活动（须按本项目投标文件格式要求提供《政府采购投标及履约承诺函》）；</w:t>
      </w:r>
    </w:p>
    <w:p w14:paraId="0F046770">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（5）参与本项目政府采购活动不存在与其他采购参加人串通投标，隐瞒真实情况，提供虚假资料等违法违规情形（须按本项目投标文件格式要求提供《政府采购投标及履约承诺函》）；</w:t>
      </w:r>
    </w:p>
    <w:p w14:paraId="127ED2CF">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（6）未被列入失信被执行人、重大税收违法案件当事人名单及政府采购严重违法失信行为记录名单（</w:t>
      </w:r>
      <w:r>
        <w:rPr>
          <w:rFonts w:hint="eastAsia" w:asciiTheme="minorEastAsia" w:hAnsiTheme="minorEastAsia" w:eastAsiaTheme="minorEastAsia"/>
          <w:snapToGrid w:val="0"/>
        </w:rPr>
        <w:t>信用中国网“信用服务”栏的“重大税收违法失信主体”、“失信被执行人”，中国政府采购网“政府采购严重违法失信行为记录名单”，深圳信用网以及深圳市政府采购监管网</w:t>
      </w:r>
      <w:r>
        <w:rPr>
          <w:rFonts w:hint="eastAsia" w:asciiTheme="minorEastAsia" w:hAnsiTheme="minorEastAsia" w:eastAsiaTheme="minorEastAsia"/>
          <w:szCs w:val="24"/>
        </w:rPr>
        <w:t>为供应商信用信息查询渠道，相关信息以开标当日的查询结果为准。由采购代理机构查询，供应商无需提供证明材料）；</w:t>
      </w:r>
    </w:p>
    <w:p w14:paraId="3ED1137B">
      <w:pPr>
        <w:widowControl/>
        <w:adjustRightInd w:val="0"/>
        <w:snapToGrid w:val="0"/>
        <w:spacing w:line="360" w:lineRule="exact"/>
        <w:ind w:firstLine="424" w:firstLineChars="202"/>
        <w:jc w:val="left"/>
        <w:rPr>
          <w:rFonts w:cs="Arial Unicode MS" w:asciiTheme="minorEastAsia" w:hAnsiTheme="minorEastAsia" w:eastAsiaTheme="minorEastAsia"/>
          <w:snapToGrid w:val="0"/>
          <w:kern w:val="0"/>
          <w:szCs w:val="18"/>
        </w:rPr>
      </w:pPr>
      <w:r>
        <w:rPr>
          <w:rFonts w:hint="eastAsia" w:cs="Arial Unicode MS" w:asciiTheme="minorEastAsia" w:hAnsiTheme="minorEastAsia" w:eastAsiaTheme="minorEastAsia"/>
          <w:snapToGrid w:val="0"/>
          <w:kern w:val="0"/>
          <w:szCs w:val="18"/>
        </w:rPr>
        <w:t>（7）</w:t>
      </w:r>
      <w:r>
        <w:rPr>
          <w:rFonts w:hint="eastAsia" w:ascii="宋体" w:hAnsi="宋体" w:cs="Arial Unicode MS"/>
          <w:snapToGrid w:val="0"/>
          <w:kern w:val="0"/>
          <w:szCs w:val="18"/>
        </w:rPr>
        <w:t>投标人</w:t>
      </w:r>
      <w:r>
        <w:rPr>
          <w:rFonts w:hint="eastAsia" w:ascii="宋体" w:hAnsi="宋体"/>
          <w:szCs w:val="21"/>
        </w:rPr>
        <w:t>具有食品药品监督管理部门（或市场监督管理部门）颁发的有效《食品经营许可证》或仅销售预包装食品单位备案证明，</w:t>
      </w:r>
      <w:r>
        <w:rPr>
          <w:rFonts w:hint="eastAsia"/>
        </w:rPr>
        <w:t>如国家另有规定的，则适用其规定，投标人须提供相关证明材料</w:t>
      </w:r>
      <w:r>
        <w:rPr>
          <w:rFonts w:hint="eastAsia" w:ascii="宋体" w:hAnsi="宋体"/>
          <w:szCs w:val="21"/>
        </w:rPr>
        <w:t>（提供证明文件扫描件，原件备查）；</w:t>
      </w:r>
    </w:p>
    <w:p w14:paraId="1BCC8CA0">
      <w:pPr>
        <w:widowControl/>
        <w:adjustRightInd w:val="0"/>
        <w:snapToGrid w:val="0"/>
        <w:spacing w:line="360" w:lineRule="exact"/>
        <w:ind w:firstLine="424" w:firstLineChars="202"/>
        <w:jc w:val="left"/>
        <w:rPr>
          <w:rFonts w:cs="Arial Unicode MS" w:asciiTheme="minorEastAsia" w:hAnsiTheme="minorEastAsia" w:eastAsiaTheme="minorEastAsia"/>
          <w:snapToGrid w:val="0"/>
          <w:kern w:val="0"/>
          <w:szCs w:val="18"/>
        </w:rPr>
      </w:pPr>
      <w:r>
        <w:rPr>
          <w:rFonts w:hint="eastAsia" w:cs="Arial Unicode MS" w:asciiTheme="minorEastAsia" w:hAnsiTheme="minorEastAsia" w:eastAsiaTheme="minorEastAsia"/>
          <w:snapToGrid w:val="0"/>
          <w:kern w:val="0"/>
          <w:szCs w:val="18"/>
        </w:rPr>
        <w:t>（8）本项目不接受联合体投标，不允许非法分包或转包。</w:t>
      </w:r>
    </w:p>
    <w:p w14:paraId="59D3E3C7">
      <w:pPr>
        <w:widowControl/>
        <w:adjustRightInd w:val="0"/>
        <w:snapToGrid w:val="0"/>
        <w:spacing w:line="360" w:lineRule="exact"/>
        <w:ind w:firstLine="424" w:firstLineChars="202"/>
        <w:jc w:val="left"/>
        <w:rPr>
          <w:rFonts w:cs="Arial Unicode MS" w:asciiTheme="minorEastAsia" w:hAnsiTheme="minorEastAsia" w:eastAsiaTheme="minorEastAsia"/>
          <w:snapToGrid w:val="0"/>
          <w:kern w:val="0"/>
          <w:szCs w:val="18"/>
        </w:rPr>
      </w:pPr>
      <w:r>
        <w:rPr>
          <w:rFonts w:hint="eastAsia" w:cs="Arial Unicode MS" w:asciiTheme="minorEastAsia" w:hAnsiTheme="minorEastAsia" w:eastAsiaTheme="minorEastAsia"/>
          <w:snapToGrid w:val="0"/>
          <w:kern w:val="0"/>
          <w:szCs w:val="18"/>
        </w:rPr>
        <w:t>注：供应商投标（上传投标文件）必须先行办理注册手续，具体请按照本公告“三、获取招标文件”相关内容指引办理。</w:t>
      </w:r>
    </w:p>
    <w:p w14:paraId="503F4197">
      <w:pPr>
        <w:widowControl/>
        <w:spacing w:line="360" w:lineRule="exact"/>
        <w:rPr>
          <w:rFonts w:ascii="宋体" w:hAnsi="宋体"/>
          <w:szCs w:val="24"/>
        </w:rPr>
      </w:pPr>
    </w:p>
    <w:p w14:paraId="5315CB70">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三、获取招标文件</w:t>
      </w:r>
    </w:p>
    <w:p w14:paraId="56070079">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b/>
          <w:sz w:val="21"/>
          <w:szCs w:val="21"/>
          <w:u w:val="single"/>
        </w:rPr>
        <w:t>自本公告发布之日起至</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01</w:t>
      </w:r>
      <w:r>
        <w:rPr>
          <w:rFonts w:hint="eastAsia" w:ascii="宋体" w:hAnsi="宋体" w:eastAsia="宋体" w:cs="宋体"/>
          <w:b/>
          <w:sz w:val="21"/>
          <w:szCs w:val="21"/>
          <w:u w:val="single"/>
        </w:rPr>
        <w:t>月</w:t>
      </w:r>
      <w:r>
        <w:rPr>
          <w:rFonts w:hint="eastAsia" w:cs="宋体"/>
          <w:b/>
          <w:sz w:val="21"/>
          <w:szCs w:val="21"/>
          <w:u w:val="single"/>
          <w:lang w:val="en-US" w:eastAsia="zh-CN"/>
        </w:rPr>
        <w:t>21</w:t>
      </w:r>
      <w:r>
        <w:rPr>
          <w:rFonts w:hint="eastAsia" w:ascii="宋体" w:hAnsi="宋体" w:eastAsia="宋体" w:cs="宋体"/>
          <w:b/>
          <w:sz w:val="21"/>
          <w:szCs w:val="21"/>
          <w:u w:val="single"/>
        </w:rPr>
        <w:t>日</w:t>
      </w:r>
      <w:r>
        <w:rPr>
          <w:rFonts w:hint="eastAsia" w:cs="宋体"/>
          <w:b/>
          <w:sz w:val="21"/>
          <w:szCs w:val="21"/>
          <w:u w:val="single"/>
          <w:lang w:val="en-US" w:eastAsia="zh-CN"/>
        </w:rPr>
        <w:t>09</w:t>
      </w:r>
      <w:r>
        <w:rPr>
          <w:rFonts w:hint="eastAsia" w:ascii="宋体" w:hAnsi="宋体" w:eastAsia="宋体" w:cs="宋体"/>
          <w:b/>
          <w:sz w:val="21"/>
          <w:szCs w:val="21"/>
          <w:u w:val="single"/>
        </w:rPr>
        <w:t>:00，每天上午0:00至12:00，下午12:00至24:00（北京时间）</w:t>
      </w:r>
      <w:r>
        <w:rPr>
          <w:rFonts w:hint="eastAsia" w:ascii="宋体" w:hAnsi="宋体" w:eastAsia="宋体" w:cs="宋体"/>
          <w:sz w:val="21"/>
          <w:szCs w:val="21"/>
        </w:rPr>
        <w:t xml:space="preserve">。 </w:t>
      </w:r>
    </w:p>
    <w:p w14:paraId="5927DE3D">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地点：登录深圳政府采购智慧平台（http://zfcg.szggzy.com:8081/）下载本项目的招标文件。 </w:t>
      </w:r>
    </w:p>
    <w:p w14:paraId="6849BC73">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方式：在线下载。 </w:t>
      </w:r>
    </w:p>
    <w:p w14:paraId="5932C736">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售价：免费。</w:t>
      </w:r>
    </w:p>
    <w:p w14:paraId="41952018">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p>
    <w:p w14:paraId="633FB91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四、提交投标文件截止时间、开标时间和地点</w:t>
      </w:r>
    </w:p>
    <w:p w14:paraId="13D4C55A">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投标截止时间：所有投标文件应于</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01</w:t>
      </w:r>
      <w:r>
        <w:rPr>
          <w:rFonts w:hint="eastAsia" w:ascii="宋体" w:hAnsi="宋体" w:eastAsia="宋体" w:cs="宋体"/>
          <w:b/>
          <w:sz w:val="21"/>
          <w:szCs w:val="21"/>
          <w:u w:val="single"/>
        </w:rPr>
        <w:t>月</w:t>
      </w:r>
      <w:r>
        <w:rPr>
          <w:rFonts w:hint="eastAsia" w:cs="宋体"/>
          <w:b/>
          <w:sz w:val="21"/>
          <w:szCs w:val="21"/>
          <w:u w:val="single"/>
          <w:lang w:val="en-US" w:eastAsia="zh-CN"/>
        </w:rPr>
        <w:t>21</w:t>
      </w:r>
      <w:r>
        <w:rPr>
          <w:rFonts w:hint="eastAsia" w:ascii="宋体" w:hAnsi="宋体" w:eastAsia="宋体" w:cs="宋体"/>
          <w:b/>
          <w:sz w:val="21"/>
          <w:szCs w:val="21"/>
          <w:u w:val="single"/>
        </w:rPr>
        <w:t>日</w:t>
      </w:r>
      <w:r>
        <w:rPr>
          <w:rFonts w:hint="eastAsia" w:cs="宋体"/>
          <w:b/>
          <w:sz w:val="21"/>
          <w:szCs w:val="21"/>
          <w:u w:val="single"/>
          <w:lang w:val="en-US" w:eastAsia="zh-CN"/>
        </w:rPr>
        <w:t>09</w:t>
      </w:r>
      <w:r>
        <w:rPr>
          <w:rFonts w:hint="eastAsia" w:ascii="宋体" w:hAnsi="宋体" w:eastAsia="宋体" w:cs="宋体"/>
          <w:b/>
          <w:sz w:val="21"/>
          <w:szCs w:val="21"/>
          <w:u w:val="single"/>
        </w:rPr>
        <w:t>:00（北京时间）</w:t>
      </w:r>
      <w:r>
        <w:rPr>
          <w:rFonts w:hint="eastAsia" w:ascii="宋体" w:hAnsi="宋体" w:eastAsia="宋体" w:cs="宋体"/>
          <w:sz w:val="21"/>
          <w:szCs w:val="21"/>
        </w:rPr>
        <w:t>之前上传到深圳政府采购智慧平台（http://zfcg.szggzy.com:8081/）。</w:t>
      </w:r>
    </w:p>
    <w:p w14:paraId="457E9A70">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开标时间和地点：定于</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01</w:t>
      </w:r>
      <w:r>
        <w:rPr>
          <w:rFonts w:hint="eastAsia" w:ascii="宋体" w:hAnsi="宋体" w:eastAsia="宋体" w:cs="宋体"/>
          <w:b/>
          <w:sz w:val="21"/>
          <w:szCs w:val="21"/>
          <w:u w:val="single"/>
        </w:rPr>
        <w:t>月</w:t>
      </w:r>
      <w:r>
        <w:rPr>
          <w:rFonts w:hint="eastAsia" w:cs="宋体"/>
          <w:b/>
          <w:sz w:val="21"/>
          <w:szCs w:val="21"/>
          <w:u w:val="single"/>
          <w:lang w:val="en-US" w:eastAsia="zh-CN"/>
        </w:rPr>
        <w:t>21</w:t>
      </w:r>
      <w:r>
        <w:rPr>
          <w:rFonts w:hint="eastAsia" w:ascii="宋体" w:hAnsi="宋体" w:eastAsia="宋体" w:cs="宋体"/>
          <w:b/>
          <w:sz w:val="21"/>
          <w:szCs w:val="21"/>
          <w:u w:val="single"/>
        </w:rPr>
        <w:t>日</w:t>
      </w:r>
      <w:r>
        <w:rPr>
          <w:rFonts w:hint="eastAsia" w:cs="宋体"/>
          <w:b/>
          <w:sz w:val="21"/>
          <w:szCs w:val="21"/>
          <w:u w:val="single"/>
          <w:lang w:val="en-US" w:eastAsia="zh-CN"/>
        </w:rPr>
        <w:t>09</w:t>
      </w:r>
      <w:r>
        <w:rPr>
          <w:rFonts w:hint="eastAsia" w:ascii="宋体" w:hAnsi="宋体" w:eastAsia="宋体" w:cs="宋体"/>
          <w:b/>
          <w:sz w:val="21"/>
          <w:szCs w:val="21"/>
          <w:u w:val="single"/>
        </w:rPr>
        <w:t>:00（北京时间）</w:t>
      </w:r>
      <w:r>
        <w:rPr>
          <w:rFonts w:hint="eastAsia" w:ascii="宋体" w:hAnsi="宋体" w:eastAsia="宋体" w:cs="宋体"/>
          <w:sz w:val="21"/>
          <w:szCs w:val="21"/>
        </w:rPr>
        <w:t>，在深圳市中正招标有限公司公开开标。</w:t>
      </w:r>
    </w:p>
    <w:p w14:paraId="548DE0FE">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b/>
          <w:sz w:val="21"/>
          <w:szCs w:val="21"/>
          <w:lang w:val="en-US" w:eastAsia="zh-CN"/>
        </w:rPr>
        <w:t>.</w:t>
      </w:r>
      <w:r>
        <w:rPr>
          <w:rFonts w:hint="eastAsia" w:ascii="宋体" w:hAnsi="宋体" w:eastAsia="宋体" w:cs="宋体"/>
          <w:b/>
          <w:sz w:val="21"/>
          <w:szCs w:val="21"/>
        </w:rPr>
        <w:t>在线解密：投标人须在</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01</w:t>
      </w:r>
      <w:r>
        <w:rPr>
          <w:rFonts w:hint="eastAsia" w:ascii="宋体" w:hAnsi="宋体" w:eastAsia="宋体" w:cs="宋体"/>
          <w:b/>
          <w:sz w:val="21"/>
          <w:szCs w:val="21"/>
          <w:u w:val="single"/>
        </w:rPr>
        <w:t>月</w:t>
      </w:r>
      <w:r>
        <w:rPr>
          <w:rFonts w:hint="eastAsia" w:cs="宋体"/>
          <w:b/>
          <w:sz w:val="21"/>
          <w:szCs w:val="21"/>
          <w:u w:val="single"/>
          <w:lang w:val="en-US" w:eastAsia="zh-CN"/>
        </w:rPr>
        <w:t>21</w:t>
      </w:r>
      <w:r>
        <w:rPr>
          <w:rFonts w:hint="eastAsia" w:ascii="宋体" w:hAnsi="宋体" w:eastAsia="宋体" w:cs="宋体"/>
          <w:b/>
          <w:sz w:val="21"/>
          <w:szCs w:val="21"/>
          <w:u w:val="single"/>
        </w:rPr>
        <w:t>日</w:t>
      </w:r>
      <w:r>
        <w:rPr>
          <w:rFonts w:hint="eastAsia" w:cs="宋体"/>
          <w:b/>
          <w:sz w:val="21"/>
          <w:szCs w:val="21"/>
          <w:u w:val="single"/>
          <w:lang w:val="en-US" w:eastAsia="zh-CN"/>
        </w:rPr>
        <w:t>09</w:t>
      </w:r>
      <w:r>
        <w:rPr>
          <w:rFonts w:hint="eastAsia" w:ascii="宋体" w:hAnsi="宋体" w:eastAsia="宋体" w:cs="宋体"/>
          <w:b/>
          <w:sz w:val="21"/>
          <w:szCs w:val="21"/>
          <w:u w:val="single"/>
        </w:rPr>
        <w:t>:00-</w:t>
      </w:r>
      <w:r>
        <w:rPr>
          <w:rFonts w:hint="eastAsia" w:cs="宋体"/>
          <w:b/>
          <w:sz w:val="21"/>
          <w:szCs w:val="21"/>
          <w:u w:val="single"/>
          <w:lang w:val="en-US" w:eastAsia="zh-CN"/>
        </w:rPr>
        <w:t>09</w:t>
      </w:r>
      <w:r>
        <w:rPr>
          <w:rFonts w:hint="eastAsia" w:ascii="宋体" w:hAnsi="宋体" w:eastAsia="宋体" w:cs="宋体"/>
          <w:b/>
          <w:sz w:val="21"/>
          <w:szCs w:val="21"/>
          <w:u w:val="single"/>
        </w:rPr>
        <w:t>:</w:t>
      </w:r>
      <w:r>
        <w:rPr>
          <w:rFonts w:hint="eastAsia" w:cs="宋体"/>
          <w:b/>
          <w:sz w:val="21"/>
          <w:szCs w:val="21"/>
          <w:u w:val="single"/>
          <w:lang w:val="en-US" w:eastAsia="zh-CN"/>
        </w:rPr>
        <w:t>30</w:t>
      </w:r>
      <w:r>
        <w:rPr>
          <w:rFonts w:hint="eastAsia" w:ascii="宋体" w:hAnsi="宋体" w:eastAsia="宋体" w:cs="宋体"/>
          <w:b/>
          <w:sz w:val="21"/>
          <w:szCs w:val="21"/>
          <w:u w:val="single"/>
        </w:rPr>
        <w:t>（北京时间）</w:t>
      </w:r>
      <w:r>
        <w:rPr>
          <w:rFonts w:hint="eastAsia" w:ascii="宋体" w:hAnsi="宋体" w:eastAsia="宋体" w:cs="宋体"/>
          <w:b/>
          <w:sz w:val="21"/>
          <w:szCs w:val="21"/>
        </w:rPr>
        <w:t>期间进行解密，逾期未解密的作无效处理。</w:t>
      </w:r>
    </w:p>
    <w:p w14:paraId="6E52A543">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其他说明</w:t>
      </w:r>
      <w:r>
        <w:rPr>
          <w:rFonts w:hint="eastAsia" w:ascii="宋体" w:hAnsi="宋体" w:eastAsia="宋体" w:cs="宋体"/>
          <w:sz w:val="21"/>
          <w:szCs w:val="21"/>
          <w:lang w:eastAsia="zh-CN"/>
        </w:rPr>
        <w:t>：无。</w:t>
      </w:r>
    </w:p>
    <w:p w14:paraId="1C67285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left="420" w:leftChars="200"/>
        <w:textAlignment w:val="auto"/>
        <w:rPr>
          <w:rFonts w:hint="eastAsia" w:ascii="宋体" w:hAnsi="宋体" w:eastAsia="宋体" w:cs="宋体"/>
          <w:sz w:val="21"/>
          <w:szCs w:val="21"/>
        </w:rPr>
      </w:pPr>
    </w:p>
    <w:p w14:paraId="7C1ABF8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五、公告期限</w:t>
      </w:r>
    </w:p>
    <w:p w14:paraId="690DC30B">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14:paraId="2542FA7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p>
    <w:p w14:paraId="244B19B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六、其他补充事宜</w:t>
      </w:r>
    </w:p>
    <w:p w14:paraId="550D0744">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本项目实行网上投标，采用电子投标文件。</w:t>
      </w:r>
    </w:p>
    <w:p w14:paraId="02D4BF83">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报名操作：投标人如确定参加投标，首先要在深圳政府采购智慧平台网上办事子系统（http://zfcg.szggzy.com:8081/TPBidder/memberLogin）网上报名投标，方法为登陆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绑定深圳政府采购智慧平台用户（电子密钥办理咨询电话：0755-83948165、0755-83938966、020-89524338），再进行投标报名。在网上报名后，点击“【我的项目】→【项目流程】→【采购文件下载】”进行招标文件的下载</w:t>
      </w:r>
      <w:r>
        <w:rPr>
          <w:rFonts w:hint="eastAsia" w:ascii="宋体" w:hAnsi="宋体" w:eastAsia="宋体" w:cs="宋体"/>
          <w:sz w:val="21"/>
          <w:szCs w:val="21"/>
          <w:lang w:eastAsia="zh-CN"/>
        </w:rPr>
        <w:t>。</w:t>
      </w:r>
    </w:p>
    <w:p w14:paraId="084D233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3.开标操作：供应商可以登录“深圳政府采购智慧平台用户网上办事子系统（http://zfcg.szggzy.com:8081/TPBidder/memberLogin）”，在“【我的项目】→【项目流程】→【开标及解密】”进行在线解密、查询开标情况。</w:t>
      </w:r>
    </w:p>
    <w:p w14:paraId="2984611C">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投标操作：具体操作为登录“深圳政府采购智慧平台用户网上办事子系统（http://zfcg.szggzy.com:8081/TPBidder/memberLogin）”，用“【我的项目】→【项目流程】→【递交投标(应答)文件】”功能点上传投标文件。本项目电子投标文件最大容量为200MB，单个节点文件不能超过50MB，超过此容量的文件将被拒绝。</w:t>
      </w:r>
    </w:p>
    <w:p w14:paraId="648B51C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采购文件澄清/修改事项：</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01</w:t>
      </w:r>
      <w:r>
        <w:rPr>
          <w:rFonts w:hint="eastAsia" w:ascii="宋体" w:hAnsi="宋体" w:eastAsia="宋体" w:cs="宋体"/>
          <w:b/>
          <w:sz w:val="21"/>
          <w:szCs w:val="21"/>
          <w:u w:val="single"/>
        </w:rPr>
        <w:t>月</w:t>
      </w:r>
      <w:r>
        <w:rPr>
          <w:rFonts w:hint="eastAsia" w:cs="宋体"/>
          <w:b/>
          <w:sz w:val="21"/>
          <w:szCs w:val="21"/>
          <w:u w:val="single"/>
          <w:lang w:val="en-US" w:eastAsia="zh-CN"/>
        </w:rPr>
        <w:t>16</w:t>
      </w:r>
      <w:r>
        <w:rPr>
          <w:rFonts w:hint="eastAsia" w:ascii="宋体" w:hAnsi="宋体" w:eastAsia="宋体" w:cs="宋体"/>
          <w:b/>
          <w:sz w:val="21"/>
          <w:szCs w:val="21"/>
          <w:u w:val="single"/>
        </w:rPr>
        <w:t>日00:00（北京时间）</w:t>
      </w:r>
      <w:r>
        <w:rPr>
          <w:rFonts w:hint="eastAsia" w:ascii="宋体" w:hAnsi="宋体" w:eastAsia="宋体" w:cs="宋体"/>
          <w:sz w:val="21"/>
          <w:szCs w:val="21"/>
        </w:rPr>
        <w:t>前，供应商如果认为采购文件存在不明确、不清晰和前后不一致等问题，可登录“深圳政府采购智慧平台用户网上办事子系统（http://zfcg.szggzy.com:8081/TPBidder/memberLogin）”，在“【我的项目】→【项目流程】→【提问】”功能点中填写需澄清内容。</w:t>
      </w:r>
      <w:r>
        <w:rPr>
          <w:rFonts w:hint="eastAsia" w:ascii="宋体" w:hAnsi="宋体" w:eastAsia="宋体"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01</w:t>
      </w:r>
      <w:r>
        <w:rPr>
          <w:rFonts w:hint="eastAsia" w:ascii="宋体" w:hAnsi="宋体" w:eastAsia="宋体" w:cs="宋体"/>
          <w:b/>
          <w:sz w:val="21"/>
          <w:szCs w:val="21"/>
          <w:u w:val="single"/>
        </w:rPr>
        <w:t>月</w:t>
      </w:r>
      <w:r>
        <w:rPr>
          <w:rFonts w:hint="eastAsia" w:cs="宋体"/>
          <w:b/>
          <w:sz w:val="21"/>
          <w:szCs w:val="21"/>
          <w:u w:val="single"/>
          <w:lang w:val="en-US" w:eastAsia="zh-CN"/>
        </w:rPr>
        <w:t>18</w:t>
      </w:r>
      <w:r>
        <w:rPr>
          <w:rFonts w:hint="eastAsia" w:ascii="宋体" w:hAnsi="宋体" w:eastAsia="宋体" w:cs="宋体"/>
          <w:b/>
          <w:sz w:val="21"/>
          <w:szCs w:val="21"/>
          <w:u w:val="single"/>
        </w:rPr>
        <w:t>日00:00（北京时间）</w:t>
      </w:r>
      <w:r>
        <w:rPr>
          <w:rFonts w:hint="eastAsia" w:ascii="宋体" w:hAnsi="宋体" w:eastAsia="宋体" w:cs="宋体"/>
          <w:sz w:val="21"/>
          <w:szCs w:val="21"/>
        </w:rPr>
        <w:t>前将采购文件澄清/修改情况在“【我的项目】→【项目流程】→【答疑澄清文件下载】”中公布，望投标人予以关注。</w:t>
      </w:r>
    </w:p>
    <w:p w14:paraId="2337396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376E52BE">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深圳市中正招标有限公司有权对投标人就本项目要求提供的相关证明资料（原件）进行审查。供应商提供虚假资料被查实的，则可能面临被取消本项目中标资格、列入不良行为记录名单和三年内禁止参与深圳市政府采购活动的风险。本招标公告及本项目招标文件所涉及的时间一律为北京时间。投标人有义务在招标活动期间浏览深圳公共资源交易网（https://www.szggzy.com），在深圳公共资源交易网上公布的与本次招标项目有关的信息视为已送达各投标人。</w:t>
      </w:r>
    </w:p>
    <w:p w14:paraId="0DAC5054">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本项目不需要投标保证金。</w:t>
      </w:r>
    </w:p>
    <w:p w14:paraId="55BBBBFE">
      <w:pPr>
        <w:spacing w:line="360" w:lineRule="exact"/>
        <w:ind w:firstLine="424" w:firstLineChars="202"/>
        <w:rPr>
          <w:rFonts w:asciiTheme="minorEastAsia" w:hAnsiTheme="minorEastAsia" w:eastAsiaTheme="minorEastAsia"/>
          <w:szCs w:val="24"/>
        </w:rPr>
      </w:pPr>
      <w:r>
        <w:rPr>
          <w:rFonts w:hint="eastAsia" w:ascii="宋体" w:hAnsi="宋体" w:eastAsia="宋体" w:cs="宋体"/>
          <w:sz w:val="21"/>
          <w:szCs w:val="21"/>
        </w:rPr>
        <w:t>8.项目中标(成交)供应商可凭借中标通知书和采购合同向金融机构申请政府采购订单融资，详情可登录深圳要素交易金融服务平台https://finance.szexgrp.com/gtm/web/guarantee/#/（或从【深圳政府采购智慧平台】点击【金服平台】），咨询电话0755-36568999转8或拨打0755-88653331。</w:t>
      </w:r>
    </w:p>
    <w:p w14:paraId="0E5FB4AF">
      <w:pPr>
        <w:widowControl/>
        <w:spacing w:line="360" w:lineRule="exact"/>
        <w:ind w:firstLine="424" w:firstLineChars="202"/>
        <w:rPr>
          <w:rFonts w:ascii="宋体" w:hAnsi="宋体"/>
          <w:szCs w:val="24"/>
        </w:rPr>
      </w:pPr>
    </w:p>
    <w:p w14:paraId="2590A394">
      <w:pPr>
        <w:widowControl/>
        <w:spacing w:line="360" w:lineRule="exact"/>
        <w:rPr>
          <w:rFonts w:ascii="宋体" w:hAnsi="宋体"/>
          <w:szCs w:val="24"/>
        </w:rPr>
      </w:pPr>
      <w:r>
        <w:rPr>
          <w:rFonts w:ascii="宋体" w:hAnsi="宋体"/>
          <w:szCs w:val="24"/>
        </w:rPr>
        <w:t>七、对本次招标提出询问，请按以下方式联系。</w:t>
      </w:r>
    </w:p>
    <w:p w14:paraId="0F61D959">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采购人信息 </w:t>
      </w:r>
    </w:p>
    <w:p w14:paraId="403B9A7D">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名称：深圳市公安局技术侦察支队</w:t>
      </w:r>
    </w:p>
    <w:p w14:paraId="1290AAFC">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 xml:space="preserve">采购代理机构信息 </w:t>
      </w:r>
    </w:p>
    <w:p w14:paraId="1F701F69">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 xml:space="preserve">名称：深圳市中正招标有限公司 </w:t>
      </w:r>
    </w:p>
    <w:p w14:paraId="05FD915D">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地址：深圳市福田区</w:t>
      </w:r>
      <w:r>
        <w:rPr>
          <w:rFonts w:hint="eastAsia" w:asciiTheme="minorEastAsia" w:hAnsiTheme="minorEastAsia" w:eastAsiaTheme="minorEastAsia"/>
          <w:szCs w:val="24"/>
        </w:rPr>
        <w:t>民田路171号新华保险大厦903</w:t>
      </w:r>
    </w:p>
    <w:p w14:paraId="1FF05084">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联系方式：0755-83026699</w:t>
      </w:r>
    </w:p>
    <w:p w14:paraId="5BE1C1DC">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 xml:space="preserve">项目联系方式 </w:t>
      </w:r>
    </w:p>
    <w:p w14:paraId="74D13A08">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项目联系人：</w:t>
      </w:r>
      <w:r>
        <w:rPr>
          <w:rFonts w:hint="eastAsia" w:asciiTheme="minorEastAsia" w:hAnsiTheme="minorEastAsia" w:eastAsiaTheme="minorEastAsia"/>
          <w:szCs w:val="24"/>
        </w:rPr>
        <w:t>李先生</w:t>
      </w:r>
      <w:r>
        <w:rPr>
          <w:rFonts w:asciiTheme="minorEastAsia" w:hAnsiTheme="minorEastAsia" w:eastAsiaTheme="minorEastAsia"/>
          <w:szCs w:val="24"/>
        </w:rPr>
        <w:t xml:space="preserve"> </w:t>
      </w:r>
    </w:p>
    <w:p w14:paraId="34704D45">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电话：</w:t>
      </w:r>
      <w:r>
        <w:rPr>
          <w:rFonts w:hint="eastAsia" w:asciiTheme="minorEastAsia" w:hAnsiTheme="minorEastAsia" w:eastAsiaTheme="minorEastAsia"/>
          <w:szCs w:val="24"/>
        </w:rPr>
        <w:t>0755-83026699</w:t>
      </w:r>
    </w:p>
    <w:p w14:paraId="4C186F35">
      <w:pPr>
        <w:spacing w:line="360" w:lineRule="exact"/>
        <w:ind w:firstLine="424" w:firstLineChars="202"/>
        <w:rPr>
          <w:rFonts w:asciiTheme="minorEastAsia" w:hAnsiTheme="minorEastAsia" w:eastAsiaTheme="minorEastAsia"/>
          <w:szCs w:val="24"/>
        </w:rPr>
      </w:pPr>
    </w:p>
    <w:p w14:paraId="0FF4460D">
      <w:pPr>
        <w:widowControl/>
        <w:spacing w:line="360" w:lineRule="exact"/>
        <w:ind w:firstLine="484" w:firstLineChars="202"/>
        <w:jc w:val="right"/>
        <w:rPr>
          <w:rFonts w:ascii="宋体" w:hAnsi="宋体"/>
          <w:sz w:val="24"/>
          <w:szCs w:val="24"/>
        </w:rPr>
      </w:pPr>
      <w:r>
        <w:rPr>
          <w:rFonts w:hint="eastAsia" w:ascii="宋体" w:hAnsi="宋体"/>
          <w:sz w:val="24"/>
          <w:szCs w:val="24"/>
        </w:rPr>
        <w:t>深圳市中正招标有限公司</w:t>
      </w:r>
    </w:p>
    <w:p w14:paraId="242CEBC5">
      <w:pPr>
        <w:widowControl/>
        <w:spacing w:line="360" w:lineRule="exact"/>
        <w:ind w:firstLine="484" w:firstLineChars="202"/>
        <w:jc w:val="right"/>
        <w:rPr>
          <w:rFonts w:ascii="宋体" w:hAnsi="宋体"/>
          <w:b/>
          <w:bCs/>
          <w:kern w:val="0"/>
          <w:sz w:val="24"/>
          <w:szCs w:val="20"/>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01</w:t>
      </w:r>
      <w:r>
        <w:rPr>
          <w:rFonts w:hint="eastAsia"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w:t>
      </w:r>
      <w:bookmarkEnd w:id="0"/>
      <w:bookmarkEnd w:id="1"/>
      <w:r>
        <w:rPr>
          <w:rFonts w:hint="eastAsia" w:ascii="宋体" w:hAnsi="宋体"/>
          <w:b/>
          <w:bCs/>
          <w:kern w:val="0"/>
          <w:sz w:val="24"/>
          <w:szCs w:val="20"/>
        </w:rPr>
        <w:br w:type="page"/>
      </w:r>
    </w:p>
    <w:p w14:paraId="10A37B45">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第二章  招标项目需求</w:t>
      </w:r>
    </w:p>
    <w:p w14:paraId="18FADA30">
      <w:pPr>
        <w:keepNext/>
        <w:keepLines/>
        <w:adjustRightInd w:val="0"/>
        <w:spacing w:before="156" w:beforeLines="50" w:after="156" w:afterLines="50"/>
        <w:jc w:val="center"/>
        <w:textAlignment w:val="baseline"/>
        <w:outlineLvl w:val="1"/>
        <w:rPr>
          <w:rFonts w:ascii="宋体" w:hAnsi="宋体"/>
          <w:b/>
          <w:bCs/>
          <w:kern w:val="0"/>
          <w:sz w:val="28"/>
          <w:szCs w:val="28"/>
        </w:rPr>
      </w:pPr>
      <w:bookmarkStart w:id="2" w:name="_Toc60631620"/>
      <w:bookmarkStart w:id="3" w:name="_Toc60560625"/>
      <w:bookmarkStart w:id="4" w:name="_Toc100052364"/>
      <w:bookmarkStart w:id="5" w:name="_Toc101074876"/>
      <w:bookmarkStart w:id="6" w:name="_Toc73517639"/>
      <w:bookmarkStart w:id="7" w:name="_Toc73521635"/>
      <w:bookmarkStart w:id="8" w:name="_Toc73518117"/>
      <w:bookmarkStart w:id="9" w:name="_Toc73521547"/>
      <w:r>
        <w:rPr>
          <w:rFonts w:hint="eastAsia" w:ascii="宋体" w:hAnsi="宋体"/>
          <w:b/>
          <w:bCs/>
          <w:kern w:val="0"/>
          <w:sz w:val="28"/>
          <w:szCs w:val="28"/>
        </w:rPr>
        <w:t>一、对通用条款的补充内容</w:t>
      </w:r>
    </w:p>
    <w:bookmarkEnd w:id="2"/>
    <w:bookmarkEnd w:id="3"/>
    <w:bookmarkEnd w:id="4"/>
    <w:bookmarkEnd w:id="5"/>
    <w:bookmarkEnd w:id="6"/>
    <w:bookmarkEnd w:id="7"/>
    <w:bookmarkEnd w:id="8"/>
    <w:bookmarkEnd w:id="9"/>
    <w:tbl>
      <w:tblPr>
        <w:tblStyle w:val="4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2F7304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CE40F22">
            <w:pPr>
              <w:jc w:val="center"/>
              <w:rPr>
                <w:rFonts w:ascii="宋体" w:hAnsi="宋体"/>
                <w:b/>
                <w:bCs/>
                <w:szCs w:val="24"/>
              </w:rPr>
            </w:pPr>
            <w:r>
              <w:rPr>
                <w:rFonts w:hint="eastAsia" w:ascii="宋体" w:hAnsi="宋体"/>
                <w:b/>
                <w:bCs/>
                <w:szCs w:val="24"/>
              </w:rPr>
              <w:t>序号</w:t>
            </w:r>
          </w:p>
        </w:tc>
        <w:tc>
          <w:tcPr>
            <w:tcW w:w="2160" w:type="dxa"/>
            <w:vAlign w:val="center"/>
          </w:tcPr>
          <w:p w14:paraId="2B672212">
            <w:pPr>
              <w:jc w:val="center"/>
              <w:rPr>
                <w:rFonts w:ascii="宋体" w:hAnsi="宋体"/>
                <w:b/>
                <w:bCs/>
                <w:szCs w:val="24"/>
              </w:rPr>
            </w:pPr>
            <w:r>
              <w:rPr>
                <w:rFonts w:hint="eastAsia" w:ascii="宋体" w:hAnsi="宋体"/>
                <w:b/>
                <w:bCs/>
                <w:szCs w:val="24"/>
              </w:rPr>
              <w:t>内   容</w:t>
            </w:r>
          </w:p>
        </w:tc>
        <w:tc>
          <w:tcPr>
            <w:tcW w:w="5400" w:type="dxa"/>
            <w:vAlign w:val="center"/>
          </w:tcPr>
          <w:p w14:paraId="75461865">
            <w:pPr>
              <w:jc w:val="center"/>
              <w:rPr>
                <w:rFonts w:ascii="宋体" w:hAnsi="宋体"/>
                <w:b/>
                <w:bCs/>
                <w:szCs w:val="24"/>
              </w:rPr>
            </w:pPr>
            <w:r>
              <w:rPr>
                <w:rFonts w:hint="eastAsia" w:ascii="宋体" w:hAnsi="宋体"/>
                <w:b/>
                <w:bCs/>
                <w:szCs w:val="24"/>
              </w:rPr>
              <w:t>规      定</w:t>
            </w:r>
          </w:p>
        </w:tc>
      </w:tr>
      <w:tr w14:paraId="73F732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3CFCF80D">
            <w:pPr>
              <w:jc w:val="center"/>
              <w:rPr>
                <w:rFonts w:ascii="宋体" w:hAnsi="宋体"/>
                <w:szCs w:val="24"/>
              </w:rPr>
            </w:pPr>
            <w:r>
              <w:rPr>
                <w:rFonts w:hint="eastAsia" w:ascii="宋体" w:hAnsi="宋体"/>
                <w:szCs w:val="24"/>
              </w:rPr>
              <w:t>1</w:t>
            </w:r>
          </w:p>
        </w:tc>
        <w:tc>
          <w:tcPr>
            <w:tcW w:w="2160" w:type="dxa"/>
            <w:vAlign w:val="center"/>
          </w:tcPr>
          <w:p w14:paraId="2ACA058D">
            <w:pPr>
              <w:jc w:val="center"/>
              <w:rPr>
                <w:rFonts w:ascii="Times New Roman" w:hAnsi="Times New Roman"/>
                <w:szCs w:val="24"/>
              </w:rPr>
            </w:pPr>
            <w:r>
              <w:rPr>
                <w:rFonts w:hint="eastAsia" w:ascii="Times New Roman" w:hAnsi="Times New Roman"/>
                <w:szCs w:val="24"/>
              </w:rPr>
              <w:t>联合体投标</w:t>
            </w:r>
          </w:p>
        </w:tc>
        <w:tc>
          <w:tcPr>
            <w:tcW w:w="5400" w:type="dxa"/>
            <w:vAlign w:val="center"/>
          </w:tcPr>
          <w:p w14:paraId="1BC48D23">
            <w:pPr>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14:paraId="121FD0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06C22DD4">
            <w:pPr>
              <w:jc w:val="center"/>
              <w:rPr>
                <w:rFonts w:ascii="宋体" w:hAnsi="宋体"/>
                <w:szCs w:val="24"/>
              </w:rPr>
            </w:pPr>
            <w:r>
              <w:rPr>
                <w:rFonts w:hint="eastAsia" w:ascii="宋体" w:hAnsi="宋体"/>
                <w:szCs w:val="24"/>
              </w:rPr>
              <w:t>2</w:t>
            </w:r>
          </w:p>
        </w:tc>
        <w:tc>
          <w:tcPr>
            <w:tcW w:w="2160" w:type="dxa"/>
            <w:vAlign w:val="center"/>
          </w:tcPr>
          <w:p w14:paraId="4B08FFA7">
            <w:pPr>
              <w:jc w:val="center"/>
              <w:rPr>
                <w:rFonts w:ascii="宋体" w:hAnsi="宋体"/>
                <w:szCs w:val="24"/>
              </w:rPr>
            </w:pPr>
            <w:r>
              <w:rPr>
                <w:rFonts w:hint="eastAsia" w:ascii="宋体" w:hAnsi="宋体"/>
                <w:szCs w:val="24"/>
              </w:rPr>
              <w:t>投标有效期</w:t>
            </w:r>
          </w:p>
        </w:tc>
        <w:tc>
          <w:tcPr>
            <w:tcW w:w="5400" w:type="dxa"/>
            <w:vAlign w:val="center"/>
          </w:tcPr>
          <w:p w14:paraId="22ED082D">
            <w:pPr>
              <w:rPr>
                <w:rFonts w:ascii="宋体" w:hAnsi="宋体"/>
                <w:szCs w:val="24"/>
              </w:rPr>
            </w:pPr>
            <w:r>
              <w:rPr>
                <w:rFonts w:hint="eastAsia" w:ascii="宋体" w:hAnsi="宋体"/>
                <w:szCs w:val="24"/>
                <w:u w:val="single"/>
              </w:rPr>
              <w:t>90</w:t>
            </w:r>
            <w:r>
              <w:rPr>
                <w:rFonts w:ascii="宋体" w:hAnsi="宋体"/>
                <w:szCs w:val="24"/>
                <w:u w:val="single"/>
              </w:rPr>
              <w:t>日历天</w:t>
            </w:r>
            <w:r>
              <w:rPr>
                <w:rFonts w:ascii="宋体" w:hAnsi="宋体"/>
                <w:szCs w:val="24"/>
              </w:rPr>
              <w:t>（从投标截止之日算起）</w:t>
            </w:r>
          </w:p>
        </w:tc>
      </w:tr>
      <w:tr w14:paraId="1FDE33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764EB20A">
            <w:pPr>
              <w:jc w:val="center"/>
              <w:rPr>
                <w:rFonts w:ascii="宋体" w:hAnsi="宋体"/>
                <w:szCs w:val="24"/>
              </w:rPr>
            </w:pPr>
            <w:r>
              <w:rPr>
                <w:rFonts w:hint="eastAsia" w:ascii="宋体" w:hAnsi="宋体"/>
                <w:szCs w:val="24"/>
              </w:rPr>
              <w:t>3</w:t>
            </w:r>
          </w:p>
        </w:tc>
        <w:tc>
          <w:tcPr>
            <w:tcW w:w="2160" w:type="dxa"/>
            <w:vAlign w:val="center"/>
          </w:tcPr>
          <w:p w14:paraId="03C75336">
            <w:pPr>
              <w:jc w:val="center"/>
              <w:rPr>
                <w:rFonts w:ascii="宋体" w:hAnsi="宋体"/>
                <w:szCs w:val="24"/>
              </w:rPr>
            </w:pPr>
            <w:r>
              <w:rPr>
                <w:rFonts w:hint="eastAsia" w:ascii="宋体" w:hAnsi="宋体"/>
                <w:szCs w:val="24"/>
              </w:rPr>
              <w:t>投标人的替代方案</w:t>
            </w:r>
          </w:p>
        </w:tc>
        <w:tc>
          <w:tcPr>
            <w:tcW w:w="5400" w:type="dxa"/>
            <w:vAlign w:val="center"/>
          </w:tcPr>
          <w:p w14:paraId="500C7127">
            <w:pPr>
              <w:rPr>
                <w:rFonts w:ascii="宋体" w:hAnsi="宋体"/>
                <w:szCs w:val="24"/>
              </w:rPr>
            </w:pPr>
            <w:r>
              <w:rPr>
                <w:rFonts w:hint="eastAsia" w:ascii="宋体" w:hAnsi="宋体"/>
                <w:szCs w:val="24"/>
              </w:rPr>
              <w:t>不允许</w:t>
            </w:r>
          </w:p>
        </w:tc>
      </w:tr>
      <w:tr w14:paraId="18797D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6BDFBED7">
            <w:pPr>
              <w:jc w:val="center"/>
              <w:rPr>
                <w:rFonts w:ascii="宋体" w:hAnsi="宋体"/>
                <w:szCs w:val="24"/>
              </w:rPr>
            </w:pPr>
            <w:r>
              <w:rPr>
                <w:rFonts w:hint="eastAsia" w:ascii="宋体" w:hAnsi="宋体"/>
                <w:szCs w:val="24"/>
              </w:rPr>
              <w:t>4</w:t>
            </w:r>
          </w:p>
        </w:tc>
        <w:tc>
          <w:tcPr>
            <w:tcW w:w="2160" w:type="dxa"/>
            <w:vAlign w:val="center"/>
          </w:tcPr>
          <w:p w14:paraId="1091ABD6">
            <w:pPr>
              <w:jc w:val="center"/>
              <w:rPr>
                <w:rFonts w:ascii="宋体" w:hAnsi="宋体"/>
                <w:szCs w:val="24"/>
              </w:rPr>
            </w:pPr>
            <w:r>
              <w:rPr>
                <w:rFonts w:hint="eastAsia" w:ascii="宋体" w:hAnsi="宋体"/>
                <w:szCs w:val="24"/>
              </w:rPr>
              <w:t>投标文件的投递</w:t>
            </w:r>
          </w:p>
        </w:tc>
        <w:tc>
          <w:tcPr>
            <w:tcW w:w="5400" w:type="dxa"/>
            <w:vAlign w:val="center"/>
          </w:tcPr>
          <w:p w14:paraId="45153666">
            <w:pPr>
              <w:spacing w:line="360" w:lineRule="exact"/>
              <w:rPr>
                <w:rFonts w:ascii="宋体" w:hAnsi="宋体"/>
              </w:rPr>
            </w:pPr>
            <w:r>
              <w:rPr>
                <w:rFonts w:hint="eastAsia" w:ascii="宋体" w:hAnsi="宋体"/>
              </w:rPr>
              <w:t>本项目实行网上投标，投标人必须在招标文件规定的投标截止时间前登录“深圳政府采购智慧平台用户网上办事子系统”，使用“【我的项目】→【项目流程】→【递交投标(应答)文件】</w:t>
            </w:r>
            <w:r>
              <w:rPr>
                <w:rFonts w:ascii="宋体" w:hAnsi="宋体"/>
              </w:rPr>
              <w:t>”功能</w:t>
            </w:r>
            <w:r>
              <w:rPr>
                <w:rFonts w:hint="eastAsia" w:ascii="宋体" w:hAnsi="宋体"/>
              </w:rPr>
              <w:t>点，</w:t>
            </w:r>
            <w:r>
              <w:rPr>
                <w:rFonts w:ascii="宋体" w:hAnsi="宋体"/>
              </w:rPr>
              <w:t>将编制好的电子投标文件上传，投标文件大小不得超过</w:t>
            </w:r>
            <w:r>
              <w:rPr>
                <w:rFonts w:hint="eastAsia" w:ascii="宋体" w:hAnsi="宋体"/>
              </w:rPr>
              <w:t>20</w:t>
            </w:r>
            <w:r>
              <w:rPr>
                <w:rFonts w:ascii="宋体" w:hAnsi="宋体"/>
              </w:rPr>
              <w:t>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rPr>
              <w:t>。</w:t>
            </w:r>
          </w:p>
        </w:tc>
      </w:tr>
      <w:tr w14:paraId="6270D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7715D80B">
            <w:pPr>
              <w:jc w:val="center"/>
              <w:rPr>
                <w:rFonts w:ascii="宋体" w:hAnsi="宋体"/>
                <w:szCs w:val="24"/>
              </w:rPr>
            </w:pPr>
            <w:r>
              <w:rPr>
                <w:rFonts w:hint="eastAsia" w:ascii="宋体" w:hAnsi="宋体"/>
                <w:szCs w:val="24"/>
              </w:rPr>
              <w:t>5</w:t>
            </w:r>
          </w:p>
        </w:tc>
        <w:tc>
          <w:tcPr>
            <w:tcW w:w="2160" w:type="dxa"/>
            <w:vAlign w:val="center"/>
          </w:tcPr>
          <w:p w14:paraId="47ED367A">
            <w:pPr>
              <w:jc w:val="center"/>
              <w:rPr>
                <w:rFonts w:ascii="宋体" w:hAnsi="宋体"/>
                <w:szCs w:val="24"/>
              </w:rPr>
            </w:pPr>
            <w:r>
              <w:rPr>
                <w:rFonts w:hint="eastAsia" w:ascii="宋体" w:hAnsi="宋体"/>
                <w:szCs w:val="24"/>
              </w:rPr>
              <w:t>中标服务费</w:t>
            </w:r>
          </w:p>
        </w:tc>
        <w:tc>
          <w:tcPr>
            <w:tcW w:w="5400" w:type="dxa"/>
            <w:vAlign w:val="center"/>
          </w:tcPr>
          <w:p w14:paraId="119A04DC">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4D8124F3">
            <w:pPr>
              <w:spacing w:line="360" w:lineRule="exact"/>
              <w:rPr>
                <w:rFonts w:asciiTheme="minorEastAsia" w:hAnsiTheme="minorEastAsia" w:eastAsiaTheme="minorEastAsia"/>
                <w:szCs w:val="20"/>
              </w:rPr>
            </w:pPr>
            <w:r>
              <w:rPr>
                <w:rFonts w:hint="eastAsia" w:ascii="宋体" w:hAnsi="宋体"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szCs w:val="20"/>
              </w:rPr>
              <w:t>，费用下浮</w:t>
            </w:r>
            <w:r>
              <w:rPr>
                <w:rFonts w:hint="eastAsia" w:asciiTheme="minorEastAsia" w:hAnsiTheme="minorEastAsia" w:eastAsiaTheme="minorEastAsia"/>
                <w:szCs w:val="20"/>
                <w:u w:val="single"/>
              </w:rPr>
              <w:t xml:space="preserve">  0  </w:t>
            </w:r>
            <w:r>
              <w:rPr>
                <w:rFonts w:hint="eastAsia" w:asciiTheme="minorEastAsia" w:hAnsiTheme="minorEastAsia" w:eastAsiaTheme="minorEastAsia"/>
                <w:szCs w:val="20"/>
              </w:rPr>
              <w:t>%，最低收取人民币</w:t>
            </w:r>
            <w:r>
              <w:rPr>
                <w:rFonts w:hint="eastAsia" w:asciiTheme="minorEastAsia" w:hAnsiTheme="minorEastAsia" w:eastAsiaTheme="minorEastAsia"/>
                <w:szCs w:val="20"/>
                <w:lang w:val="en-US" w:eastAsia="zh-CN"/>
              </w:rPr>
              <w:t>5</w:t>
            </w:r>
            <w:r>
              <w:rPr>
                <w:rFonts w:hint="eastAsia" w:asciiTheme="minorEastAsia" w:hAnsiTheme="minorEastAsia" w:eastAsiaTheme="minorEastAsia"/>
                <w:szCs w:val="20"/>
              </w:rPr>
              <w:t>000元。</w:t>
            </w:r>
          </w:p>
          <w:p w14:paraId="790DF618">
            <w:pPr>
              <w:spacing w:line="360" w:lineRule="exact"/>
              <w:rPr>
                <w:rFonts w:ascii="宋体" w:hAnsi="宋体"/>
              </w:rPr>
            </w:pPr>
            <w:r>
              <w:rPr>
                <w:rFonts w:hint="eastAsia" w:ascii="Times New Roman" w:hAnsi="宋体"/>
                <w:szCs w:val="24"/>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szCs w:val="24"/>
              </w:rPr>
              <w:t>，费用下浮</w:t>
            </w:r>
            <w:r>
              <w:rPr>
                <w:rFonts w:hint="eastAsia" w:asciiTheme="minorEastAsia" w:hAnsiTheme="minorEastAsia" w:eastAsiaTheme="minorEastAsia"/>
                <w:szCs w:val="24"/>
                <w:u w:val="single"/>
              </w:rPr>
              <w:t xml:space="preserve">  0  </w:t>
            </w:r>
            <w:r>
              <w:rPr>
                <w:rFonts w:hint="eastAsia" w:asciiTheme="minorEastAsia" w:hAnsiTheme="minorEastAsia" w:eastAsiaTheme="minorEastAsia"/>
                <w:szCs w:val="24"/>
              </w:rPr>
              <w:t>%，收取中标服务费：人民币</w:t>
            </w:r>
            <w:r>
              <w:rPr>
                <w:rFonts w:hint="eastAsia" w:asciiTheme="minorEastAsia" w:hAnsiTheme="minorEastAsia" w:eastAsiaTheme="minorEastAsia"/>
                <w:szCs w:val="24"/>
                <w:u w:val="single"/>
              </w:rPr>
              <w:t xml:space="preserve"> 33,488.00 </w:t>
            </w:r>
            <w:r>
              <w:rPr>
                <w:rFonts w:hint="eastAsia" w:asciiTheme="minorEastAsia" w:hAnsiTheme="minorEastAsia" w:eastAsiaTheme="minorEastAsia"/>
                <w:szCs w:val="24"/>
              </w:rPr>
              <w:t>元。</w:t>
            </w:r>
          </w:p>
        </w:tc>
      </w:tr>
      <w:tr w14:paraId="3CB9EF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11B18DC">
            <w:pPr>
              <w:jc w:val="center"/>
              <w:rPr>
                <w:rFonts w:ascii="宋体" w:hAnsi="宋体"/>
                <w:szCs w:val="24"/>
              </w:rPr>
            </w:pPr>
            <w:r>
              <w:rPr>
                <w:rFonts w:hint="eastAsia" w:ascii="宋体" w:hAnsi="宋体"/>
                <w:szCs w:val="24"/>
              </w:rPr>
              <w:t>6</w:t>
            </w:r>
          </w:p>
        </w:tc>
        <w:tc>
          <w:tcPr>
            <w:tcW w:w="2160" w:type="dxa"/>
            <w:vAlign w:val="center"/>
          </w:tcPr>
          <w:p w14:paraId="34BA42F3">
            <w:pPr>
              <w:jc w:val="center"/>
              <w:rPr>
                <w:rFonts w:ascii="宋体" w:hAnsi="宋体"/>
                <w:szCs w:val="24"/>
              </w:rPr>
            </w:pPr>
            <w:r>
              <w:rPr>
                <w:rFonts w:hint="eastAsia" w:ascii="宋体" w:hAnsi="宋体"/>
                <w:szCs w:val="24"/>
              </w:rPr>
              <w:t>履约保证金</w:t>
            </w:r>
          </w:p>
        </w:tc>
        <w:tc>
          <w:tcPr>
            <w:tcW w:w="5400" w:type="dxa"/>
            <w:vAlign w:val="center"/>
          </w:tcPr>
          <w:p w14:paraId="01DEAE53">
            <w:pPr>
              <w:spacing w:line="360" w:lineRule="exact"/>
              <w:rPr>
                <w:rFonts w:ascii="宋体" w:hAnsi="宋体"/>
              </w:rPr>
            </w:pPr>
            <w:r>
              <w:rPr>
                <w:rFonts w:hint="eastAsia" w:ascii="宋体" w:hAnsi="宋体" w:eastAsia="MS Mincho" w:cs="MS Mincho"/>
                <w:sz w:val="24"/>
                <w:szCs w:val="24"/>
              </w:rPr>
              <w:t>☑</w:t>
            </w:r>
            <w:r>
              <w:rPr>
                <w:rFonts w:hint="eastAsia" w:ascii="宋体" w:hAnsi="宋体"/>
                <w:szCs w:val="24"/>
              </w:rPr>
              <w:t>本项目不收取履约保证金。</w:t>
            </w:r>
          </w:p>
        </w:tc>
      </w:tr>
    </w:tbl>
    <w:p w14:paraId="3F754A0D">
      <w:pPr>
        <w:rPr>
          <w:rFonts w:ascii="Times New Roman" w:hAnsi="Times New Roman"/>
          <w:b/>
          <w:szCs w:val="24"/>
        </w:rPr>
      </w:pPr>
      <w:r>
        <w:rPr>
          <w:rFonts w:hint="eastAsia" w:ascii="Times New Roman" w:hAnsi="Times New Roman"/>
          <w:szCs w:val="21"/>
        </w:rPr>
        <w:t xml:space="preserve">    备注：本表为通用条款相关内容的补充和明确，如与通用条款相冲突的以本表为准。</w:t>
      </w:r>
    </w:p>
    <w:p w14:paraId="278F1430">
      <w:pPr>
        <w:rPr>
          <w:rFonts w:ascii="Times New Roman" w:hAnsi="Times New Roman"/>
          <w:b/>
          <w:szCs w:val="24"/>
        </w:rPr>
      </w:pPr>
    </w:p>
    <w:p w14:paraId="1E7B1181">
      <w:pPr>
        <w:pStyle w:val="4"/>
        <w:spacing w:before="156" w:beforeLines="50" w:after="156" w:afterLines="50"/>
      </w:pPr>
      <w:bookmarkStart w:id="10" w:name="_Toc128884461"/>
      <w:r>
        <w:rPr>
          <w:rFonts w:hint="eastAsia"/>
          <w:b/>
          <w:bCs/>
          <w:sz w:val="28"/>
          <w:szCs w:val="28"/>
        </w:rPr>
        <w:t>二、实质性条款</w:t>
      </w:r>
    </w:p>
    <w:tbl>
      <w:tblPr>
        <w:tblStyle w:val="44"/>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58"/>
      </w:tblGrid>
      <w:tr w14:paraId="2B25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E59EDBD">
            <w:pPr>
              <w:adjustRightInd w:val="0"/>
              <w:snapToGrid w:val="0"/>
              <w:spacing w:line="360" w:lineRule="auto"/>
              <w:jc w:val="center"/>
              <w:rPr>
                <w:rFonts w:ascii="宋体" w:hAnsi="宋体" w:cs="宋体"/>
                <w:kern w:val="0"/>
                <w:szCs w:val="21"/>
              </w:rPr>
            </w:pPr>
            <w:r>
              <w:rPr>
                <w:rFonts w:hint="eastAsia" w:ascii="宋体" w:hAnsi="宋体" w:cs="宋体"/>
                <w:kern w:val="0"/>
                <w:szCs w:val="21"/>
              </w:rPr>
              <w:t>序号</w:t>
            </w:r>
          </w:p>
        </w:tc>
        <w:tc>
          <w:tcPr>
            <w:tcW w:w="7658" w:type="dxa"/>
            <w:vAlign w:val="center"/>
          </w:tcPr>
          <w:p w14:paraId="612655E3">
            <w:pPr>
              <w:adjustRightInd w:val="0"/>
              <w:snapToGrid w:val="0"/>
              <w:spacing w:line="360" w:lineRule="auto"/>
              <w:jc w:val="center"/>
              <w:rPr>
                <w:rFonts w:ascii="宋体" w:hAnsi="宋体" w:cs="宋体"/>
                <w:kern w:val="0"/>
                <w:szCs w:val="21"/>
              </w:rPr>
            </w:pPr>
            <w:r>
              <w:rPr>
                <w:rFonts w:hint="eastAsia" w:ascii="宋体" w:hAnsi="宋体" w:cs="宋体"/>
                <w:kern w:val="0"/>
                <w:szCs w:val="21"/>
              </w:rPr>
              <w:t>具体内容</w:t>
            </w:r>
          </w:p>
        </w:tc>
      </w:tr>
      <w:tr w14:paraId="6CAA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12BBB9B">
            <w:pPr>
              <w:adjustRightInd w:val="0"/>
              <w:snapToGrid w:val="0"/>
              <w:spacing w:line="360" w:lineRule="auto"/>
              <w:jc w:val="center"/>
              <w:rPr>
                <w:rFonts w:ascii="宋体" w:hAnsi="宋体" w:cs="宋体"/>
                <w:kern w:val="0"/>
                <w:szCs w:val="21"/>
              </w:rPr>
            </w:pPr>
            <w:r>
              <w:rPr>
                <w:rFonts w:hint="eastAsia" w:ascii="宋体" w:hAnsi="宋体" w:cs="宋体"/>
                <w:kern w:val="0"/>
                <w:szCs w:val="21"/>
              </w:rPr>
              <w:t>1</w:t>
            </w:r>
          </w:p>
        </w:tc>
        <w:tc>
          <w:tcPr>
            <w:tcW w:w="7658" w:type="dxa"/>
            <w:vAlign w:val="center"/>
          </w:tcPr>
          <w:p w14:paraId="1885E45C">
            <w:pPr>
              <w:adjustRightInd w:val="0"/>
              <w:snapToGrid w:val="0"/>
              <w:spacing w:line="360" w:lineRule="auto"/>
              <w:jc w:val="left"/>
              <w:rPr>
                <w:rFonts w:ascii="宋体" w:hAnsi="宋体" w:cs="宋体"/>
                <w:kern w:val="0"/>
                <w:szCs w:val="21"/>
              </w:rPr>
            </w:pPr>
            <w:r>
              <w:rPr>
                <w:rFonts w:hint="eastAsia" w:ascii="宋体" w:hAnsi="宋体"/>
                <w:kern w:val="0"/>
                <w:szCs w:val="21"/>
              </w:rPr>
              <w:t>供应商配送食品必须安全可靠，且从未出现过配送食品安全事故，并出具相关承诺书</w:t>
            </w:r>
            <w:r>
              <w:rPr>
                <w:rFonts w:hint="eastAsia" w:ascii="宋体" w:hAnsi="宋体"/>
                <w:b/>
                <w:bCs/>
                <w:color w:val="FF0000"/>
                <w:kern w:val="0"/>
                <w:szCs w:val="21"/>
              </w:rPr>
              <w:t>【提供承诺书（格式自拟）作为响应依据，未提供的视为负偏离，按投标无效处理】</w:t>
            </w:r>
            <w:r>
              <w:rPr>
                <w:rFonts w:hint="eastAsia" w:ascii="宋体" w:hAnsi="宋体"/>
                <w:kern w:val="0"/>
                <w:szCs w:val="21"/>
              </w:rPr>
              <w:t>。</w:t>
            </w:r>
          </w:p>
        </w:tc>
      </w:tr>
      <w:tr w14:paraId="1B28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7169475">
            <w:pPr>
              <w:adjustRightInd w:val="0"/>
              <w:snapToGrid w:val="0"/>
              <w:spacing w:line="360" w:lineRule="auto"/>
              <w:jc w:val="center"/>
              <w:rPr>
                <w:rFonts w:ascii="宋体" w:hAnsi="宋体" w:cs="宋体"/>
                <w:kern w:val="0"/>
                <w:szCs w:val="21"/>
              </w:rPr>
            </w:pPr>
            <w:r>
              <w:rPr>
                <w:rFonts w:hint="eastAsia" w:ascii="宋体" w:hAnsi="宋体" w:cs="宋体"/>
                <w:kern w:val="0"/>
                <w:szCs w:val="21"/>
              </w:rPr>
              <w:t>2</w:t>
            </w:r>
          </w:p>
        </w:tc>
        <w:tc>
          <w:tcPr>
            <w:tcW w:w="7658" w:type="dxa"/>
            <w:vAlign w:val="center"/>
          </w:tcPr>
          <w:p w14:paraId="314889A6">
            <w:pPr>
              <w:adjustRightInd w:val="0"/>
              <w:snapToGrid w:val="0"/>
              <w:spacing w:line="360" w:lineRule="auto"/>
              <w:jc w:val="left"/>
              <w:rPr>
                <w:rFonts w:ascii="宋体" w:hAnsi="宋体" w:cs="宋体"/>
                <w:kern w:val="0"/>
                <w:szCs w:val="21"/>
              </w:rPr>
            </w:pPr>
            <w:r>
              <w:rPr>
                <w:rFonts w:hint="eastAsia" w:ascii="宋体" w:hAnsi="宋体"/>
                <w:kern w:val="0"/>
                <w:szCs w:val="21"/>
              </w:rPr>
              <w:t>供应商承诺中标后明确各类食品产品的质量安全责任人，且该人员须在供应商单位购买社保</w:t>
            </w:r>
            <w:r>
              <w:rPr>
                <w:rFonts w:hint="eastAsia" w:ascii="宋体" w:hAnsi="宋体"/>
                <w:b/>
                <w:bCs/>
                <w:color w:val="FF0000"/>
                <w:kern w:val="0"/>
                <w:szCs w:val="21"/>
              </w:rPr>
              <w:t>【提供承诺书（格式自拟）作为响应依据，未提供的视为负偏离，按投标无效处理】</w:t>
            </w:r>
            <w:r>
              <w:rPr>
                <w:rFonts w:hint="eastAsia" w:ascii="宋体" w:hAnsi="宋体"/>
                <w:kern w:val="0"/>
                <w:szCs w:val="21"/>
              </w:rPr>
              <w:t>。</w:t>
            </w:r>
          </w:p>
        </w:tc>
      </w:tr>
      <w:tr w14:paraId="7119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C2C593E">
            <w:pPr>
              <w:adjustRightInd w:val="0"/>
              <w:snapToGrid w:val="0"/>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7658" w:type="dxa"/>
            <w:vAlign w:val="center"/>
          </w:tcPr>
          <w:p w14:paraId="420D7805">
            <w:pPr>
              <w:adjustRightInd w:val="0"/>
              <w:snapToGrid w:val="0"/>
              <w:spacing w:line="360" w:lineRule="auto"/>
              <w:jc w:val="left"/>
              <w:rPr>
                <w:rFonts w:ascii="宋体" w:hAnsi="宋体" w:cs="宋体"/>
                <w:kern w:val="0"/>
                <w:szCs w:val="21"/>
              </w:rPr>
            </w:pPr>
            <w:r>
              <w:rPr>
                <w:rFonts w:hint="eastAsia" w:ascii="宋体" w:hAnsi="宋体"/>
                <w:kern w:val="0"/>
                <w:szCs w:val="21"/>
              </w:rPr>
              <w:t>本项目不涉及具体投标金额（无须供应商在投标文件中填报具体投标金额），供应商只需在投标文件项目报价表中填报唯一的折扣率。供应商应根据自身成本自行填报“折扣率”，应包括服务成本、法定税费和企业的利润，但不得以低于其成本的报价竞标。</w:t>
            </w:r>
          </w:p>
        </w:tc>
      </w:tr>
      <w:tr w14:paraId="7DEE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44DE56D">
            <w:pPr>
              <w:adjustRightInd w:val="0"/>
              <w:snapToGrid w:val="0"/>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7658" w:type="dxa"/>
            <w:vAlign w:val="center"/>
          </w:tcPr>
          <w:p w14:paraId="614229D0">
            <w:pPr>
              <w:adjustRightInd w:val="0"/>
              <w:snapToGrid w:val="0"/>
              <w:spacing w:line="360" w:lineRule="auto"/>
              <w:jc w:val="left"/>
              <w:rPr>
                <w:rFonts w:ascii="宋体" w:hAnsi="宋体"/>
                <w:kern w:val="0"/>
                <w:szCs w:val="21"/>
              </w:rPr>
            </w:pPr>
            <w:r>
              <w:rPr>
                <w:rFonts w:hint="eastAsia" w:ascii="宋体" w:hAnsi="宋体"/>
                <w:kern w:val="0"/>
                <w:szCs w:val="21"/>
              </w:rPr>
              <w:t>“折扣率”填写要求</w:t>
            </w:r>
          </w:p>
          <w:p w14:paraId="200366EE">
            <w:pPr>
              <w:adjustRightInd w:val="0"/>
              <w:snapToGrid w:val="0"/>
              <w:spacing w:line="360" w:lineRule="auto"/>
              <w:jc w:val="left"/>
              <w:rPr>
                <w:rFonts w:ascii="宋体" w:hAnsi="宋体"/>
                <w:kern w:val="0"/>
                <w:szCs w:val="21"/>
              </w:rPr>
            </w:pPr>
            <w:r>
              <w:rPr>
                <w:rFonts w:hint="eastAsia" w:ascii="宋体" w:hAnsi="宋体"/>
                <w:kern w:val="0"/>
                <w:szCs w:val="21"/>
              </w:rPr>
              <w:t>（1）填写要求：0＜折扣率≤1，未按此要求填写将作废标处理。</w:t>
            </w:r>
          </w:p>
          <w:p w14:paraId="2DE4EC64">
            <w:pPr>
              <w:adjustRightInd w:val="0"/>
              <w:snapToGrid w:val="0"/>
              <w:spacing w:line="360" w:lineRule="auto"/>
              <w:jc w:val="left"/>
              <w:rPr>
                <w:rFonts w:ascii="宋体" w:hAnsi="宋体"/>
                <w:kern w:val="0"/>
                <w:szCs w:val="21"/>
              </w:rPr>
            </w:pPr>
            <w:r>
              <w:rPr>
                <w:rFonts w:hint="eastAsia" w:ascii="宋体" w:hAnsi="宋体"/>
                <w:kern w:val="0"/>
                <w:szCs w:val="21"/>
              </w:rPr>
              <w:t>（2）填写的“折扣率”应为小数，（如：0.90、0.80、0.78，最多保留小数点后两位）；</w:t>
            </w:r>
          </w:p>
          <w:p w14:paraId="24838D75">
            <w:pPr>
              <w:adjustRightInd w:val="0"/>
              <w:snapToGrid w:val="0"/>
              <w:spacing w:line="360" w:lineRule="auto"/>
              <w:jc w:val="left"/>
              <w:rPr>
                <w:rFonts w:ascii="宋体" w:hAnsi="宋体"/>
                <w:kern w:val="0"/>
                <w:szCs w:val="21"/>
              </w:rPr>
            </w:pPr>
            <w:r>
              <w:rPr>
                <w:rFonts w:hint="eastAsia" w:ascii="宋体" w:hAnsi="宋体"/>
                <w:kern w:val="0"/>
                <w:szCs w:val="21"/>
              </w:rPr>
              <w:t>（3）供应商参与投标只允许填报一个“折扣率”，不允许填报2个（或以上）的“折扣率”；填报了2个或以上“折扣率”的，其投标将直接作投标无效处理；</w:t>
            </w:r>
          </w:p>
          <w:p w14:paraId="1A074530">
            <w:pPr>
              <w:adjustRightInd w:val="0"/>
              <w:snapToGrid w:val="0"/>
              <w:spacing w:line="360" w:lineRule="auto"/>
              <w:jc w:val="left"/>
              <w:rPr>
                <w:rFonts w:ascii="宋体" w:hAnsi="宋体" w:cs="宋体"/>
                <w:kern w:val="0"/>
                <w:szCs w:val="21"/>
              </w:rPr>
            </w:pPr>
            <w:r>
              <w:rPr>
                <w:rFonts w:hint="eastAsia" w:ascii="宋体" w:hAnsi="宋体"/>
                <w:kern w:val="0"/>
                <w:szCs w:val="21"/>
              </w:rPr>
              <w:t>（4）“折扣率”缺填、漏填将直接作投标无效处理。</w:t>
            </w:r>
          </w:p>
        </w:tc>
      </w:tr>
      <w:tr w14:paraId="7768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E417AA7">
            <w:pPr>
              <w:adjustRightInd w:val="0"/>
              <w:snapToGrid w:val="0"/>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7658" w:type="dxa"/>
            <w:vAlign w:val="center"/>
          </w:tcPr>
          <w:p w14:paraId="1F60361D">
            <w:pPr>
              <w:adjustRightInd w:val="0"/>
              <w:snapToGrid w:val="0"/>
              <w:spacing w:line="360" w:lineRule="auto"/>
              <w:jc w:val="left"/>
              <w:rPr>
                <w:rFonts w:ascii="宋体" w:hAnsi="宋体"/>
                <w:kern w:val="0"/>
                <w:szCs w:val="21"/>
              </w:rPr>
            </w:pPr>
            <w:r>
              <w:rPr>
                <w:rFonts w:hint="eastAsia" w:ascii="宋体" w:hAnsi="宋体"/>
                <w:kern w:val="0"/>
                <w:szCs w:val="21"/>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r>
              <w:rPr>
                <w:rFonts w:hint="eastAsia" w:ascii="宋体" w:hAnsi="宋体"/>
                <w:kern w:val="0"/>
                <w:szCs w:val="21"/>
                <w:lang w:val="zh-CN"/>
              </w:rPr>
              <w:t>。</w:t>
            </w:r>
          </w:p>
        </w:tc>
      </w:tr>
    </w:tbl>
    <w:p w14:paraId="2A19EB30">
      <w:pPr>
        <w:adjustRightInd w:val="0"/>
        <w:snapToGrid w:val="0"/>
        <w:spacing w:line="360" w:lineRule="auto"/>
        <w:ind w:firstLine="482" w:firstLineChars="200"/>
        <w:rPr>
          <w:rFonts w:ascii="黑体"/>
          <w:b/>
          <w:kern w:val="0"/>
          <w:sz w:val="24"/>
        </w:rPr>
      </w:pPr>
      <w:r>
        <w:rPr>
          <w:rFonts w:hint="eastAsia" w:ascii="黑体"/>
          <w:b/>
          <w:kern w:val="0"/>
          <w:sz w:val="24"/>
        </w:rPr>
        <w:t>注：上表所列内容为不可负偏离的实质性条款。</w:t>
      </w:r>
    </w:p>
    <w:p w14:paraId="157F8711">
      <w:pPr>
        <w:pStyle w:val="19"/>
      </w:pPr>
    </w:p>
    <w:bookmarkEnd w:id="10"/>
    <w:p w14:paraId="452D8B15">
      <w:pPr>
        <w:pStyle w:val="19"/>
        <w:jc w:val="center"/>
        <w:rPr>
          <w:rFonts w:ascii="宋体" w:hAnsi="宋体"/>
          <w:sz w:val="28"/>
          <w:szCs w:val="28"/>
        </w:rPr>
      </w:pPr>
      <w:r>
        <w:rPr>
          <w:rFonts w:hint="eastAsia" w:ascii="宋体" w:hAnsi="宋体"/>
          <w:sz w:val="28"/>
          <w:szCs w:val="28"/>
        </w:rPr>
        <w:t>三、项目概况</w:t>
      </w:r>
    </w:p>
    <w:p w14:paraId="48825F07">
      <w:pPr>
        <w:pStyle w:val="19"/>
      </w:pPr>
      <w:r>
        <w:rPr>
          <w:rFonts w:hint="eastAsia"/>
        </w:rPr>
        <w:t>（一）采购需求</w:t>
      </w:r>
    </w:p>
    <w:tbl>
      <w:tblPr>
        <w:tblStyle w:val="44"/>
        <w:tblW w:w="9470" w:type="dxa"/>
        <w:jc w:val="center"/>
        <w:tblLayout w:type="fixed"/>
        <w:tblCellMar>
          <w:top w:w="15" w:type="dxa"/>
          <w:left w:w="15" w:type="dxa"/>
          <w:bottom w:w="15" w:type="dxa"/>
          <w:right w:w="15" w:type="dxa"/>
        </w:tblCellMar>
      </w:tblPr>
      <w:tblGrid>
        <w:gridCol w:w="866"/>
        <w:gridCol w:w="3685"/>
        <w:gridCol w:w="921"/>
        <w:gridCol w:w="922"/>
        <w:gridCol w:w="1701"/>
        <w:gridCol w:w="1375"/>
      </w:tblGrid>
      <w:tr w14:paraId="541F54E2">
        <w:tblPrEx>
          <w:tblCellMar>
            <w:top w:w="15" w:type="dxa"/>
            <w:left w:w="15" w:type="dxa"/>
            <w:bottom w:w="15" w:type="dxa"/>
            <w:right w:w="15" w:type="dxa"/>
          </w:tblCellMar>
        </w:tblPrEx>
        <w:trPr>
          <w:trHeight w:val="689" w:hRule="atLeast"/>
          <w:jc w:val="center"/>
        </w:trPr>
        <w:tc>
          <w:tcPr>
            <w:tcW w:w="866" w:type="dxa"/>
            <w:tcBorders>
              <w:top w:val="single" w:color="000000" w:sz="4" w:space="0"/>
              <w:left w:val="single" w:color="000000" w:sz="4" w:space="0"/>
              <w:right w:val="single" w:color="000000" w:sz="4" w:space="0"/>
            </w:tcBorders>
            <w:vAlign w:val="center"/>
          </w:tcPr>
          <w:p w14:paraId="20F41A2E">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621E8053">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221C2FA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67CDF11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311825A7">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4D51195E">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375" w:type="dxa"/>
            <w:tcBorders>
              <w:top w:val="single" w:color="000000" w:sz="4" w:space="0"/>
              <w:left w:val="single" w:color="000000" w:sz="4" w:space="0"/>
              <w:bottom w:val="single" w:color="000000" w:sz="4" w:space="0"/>
              <w:right w:val="single" w:color="000000" w:sz="4" w:space="0"/>
            </w:tcBorders>
            <w:vAlign w:val="center"/>
          </w:tcPr>
          <w:p w14:paraId="5690DFC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50676B94">
        <w:tblPrEx>
          <w:tblCellMar>
            <w:top w:w="15" w:type="dxa"/>
            <w:left w:w="15" w:type="dxa"/>
            <w:bottom w:w="15" w:type="dxa"/>
            <w:right w:w="15" w:type="dxa"/>
          </w:tblCellMar>
        </w:tblPrEx>
        <w:trPr>
          <w:trHeight w:val="799"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14:paraId="5DC6248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C6C16EA">
            <w:pPr>
              <w:widowControl/>
              <w:adjustRightInd w:val="0"/>
              <w:snapToGrid w:val="0"/>
              <w:spacing w:line="360" w:lineRule="auto"/>
              <w:jc w:val="center"/>
              <w:textAlignment w:val="center"/>
              <w:rPr>
                <w:rFonts w:ascii="宋体" w:hAnsi="宋体" w:cs="宋体"/>
                <w:szCs w:val="21"/>
              </w:rPr>
            </w:pPr>
            <w:r>
              <w:rPr>
                <w:rFonts w:hint="eastAsia" w:ascii="宋体" w:hAnsi="宋体" w:cs="宋体"/>
                <w:snapToGrid w:val="0"/>
                <w:szCs w:val="21"/>
              </w:rPr>
              <w:t>农轩100大院食堂食材配送</w:t>
            </w:r>
          </w:p>
        </w:tc>
        <w:tc>
          <w:tcPr>
            <w:tcW w:w="921" w:type="dxa"/>
            <w:tcBorders>
              <w:top w:val="single" w:color="000000" w:sz="4" w:space="0"/>
              <w:left w:val="single" w:color="000000" w:sz="4" w:space="0"/>
              <w:bottom w:val="single" w:color="000000" w:sz="4" w:space="0"/>
              <w:right w:val="single" w:color="000000" w:sz="4" w:space="0"/>
            </w:tcBorders>
            <w:vAlign w:val="center"/>
          </w:tcPr>
          <w:p w14:paraId="4273D4E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3ACAC477">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1F2941E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3,311,000.00</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6D94">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44B27116">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备注：</w:t>
      </w:r>
    </w:p>
    <w:p w14:paraId="415D6225">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1、本项目需求中出现的工艺、材料、设备或参照的品牌等仅为方便描述而没有限制性，投标人可以在其提供的文件资料中选用替代标准，但这些替代标准要优于或相当于项目需求中要求的标准。</w:t>
      </w:r>
    </w:p>
    <w:p w14:paraId="71065D34">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2、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454DEB2C">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3、投标人提供证书或检测报告等证明材料的，颁发证书、出具报告的机构须是合法设立的机构，且具有颁发相应证书或者出具相应报告的资质。</w:t>
      </w:r>
    </w:p>
    <w:p w14:paraId="7D5D83F6">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highlight w:val="yellow"/>
        </w:rPr>
        <w:t>4、加注★的条款为不可负偏离的实质性条款，任一项未响应或不满足要求的，将导致投标无效。</w:t>
      </w:r>
    </w:p>
    <w:p w14:paraId="33D1AC82">
      <w:pPr>
        <w:autoSpaceDE w:val="0"/>
        <w:autoSpaceDN w:val="0"/>
        <w:adjustRightInd w:val="0"/>
        <w:spacing w:line="360" w:lineRule="auto"/>
        <w:ind w:firstLine="424" w:firstLineChars="176"/>
        <w:jc w:val="left"/>
        <w:rPr>
          <w:rFonts w:ascii="宋体" w:hAnsi="宋体"/>
          <w:b/>
          <w:bCs/>
          <w:kern w:val="0"/>
          <w:sz w:val="24"/>
          <w:szCs w:val="20"/>
        </w:rPr>
      </w:pPr>
    </w:p>
    <w:p w14:paraId="28F7D7A6">
      <w:pPr>
        <w:keepNext/>
        <w:keepLines/>
        <w:adjustRightInd w:val="0"/>
        <w:spacing w:before="156" w:beforeLines="50" w:after="156" w:afterLines="50"/>
        <w:jc w:val="center"/>
        <w:textAlignment w:val="baseline"/>
        <w:outlineLvl w:val="1"/>
        <w:rPr>
          <w:rFonts w:ascii="宋体" w:hAnsi="宋体"/>
          <w:b/>
          <w:bCs/>
          <w:kern w:val="0"/>
          <w:sz w:val="28"/>
          <w:szCs w:val="28"/>
        </w:rPr>
      </w:pPr>
      <w:r>
        <w:rPr>
          <w:rFonts w:hint="eastAsia" w:ascii="宋体" w:hAnsi="宋体"/>
          <w:b/>
          <w:bCs/>
          <w:kern w:val="0"/>
          <w:sz w:val="28"/>
          <w:szCs w:val="28"/>
        </w:rPr>
        <w:t>四、项目服务要求</w:t>
      </w:r>
    </w:p>
    <w:p w14:paraId="1882CAF9">
      <w:pPr>
        <w:spacing w:line="360" w:lineRule="auto"/>
        <w:rPr>
          <w:rFonts w:ascii="宋体" w:hAnsi="宋体"/>
          <w:b/>
          <w:bCs/>
          <w:szCs w:val="21"/>
        </w:rPr>
      </w:pPr>
      <w:r>
        <w:rPr>
          <w:rFonts w:hint="eastAsia" w:ascii="宋体" w:hAnsi="宋体"/>
          <w:b/>
          <w:bCs/>
          <w:szCs w:val="21"/>
        </w:rPr>
        <w:t>（一）</w:t>
      </w:r>
      <w:r>
        <w:rPr>
          <w:rFonts w:hint="eastAsia" w:ascii="宋体" w:hAnsi="宋体"/>
          <w:b/>
          <w:szCs w:val="21"/>
        </w:rPr>
        <w:t>项目管理要求</w:t>
      </w:r>
    </w:p>
    <w:p w14:paraId="53390520">
      <w:pPr>
        <w:spacing w:line="360" w:lineRule="auto"/>
        <w:ind w:firstLine="420" w:firstLineChars="200"/>
        <w:rPr>
          <w:rFonts w:ascii="宋体" w:hAnsi="宋体"/>
          <w:szCs w:val="21"/>
        </w:rPr>
      </w:pPr>
      <w:r>
        <w:rPr>
          <w:rFonts w:hint="eastAsia" w:ascii="宋体" w:hAnsi="宋体"/>
          <w:szCs w:val="21"/>
        </w:rPr>
        <w:t>1.质量要求：</w:t>
      </w:r>
    </w:p>
    <w:p w14:paraId="0B75733B">
      <w:pPr>
        <w:spacing w:line="360" w:lineRule="auto"/>
        <w:ind w:firstLine="422" w:firstLineChars="200"/>
        <w:rPr>
          <w:rFonts w:ascii="宋体" w:hAnsi="宋体"/>
          <w:szCs w:val="21"/>
        </w:rPr>
      </w:pPr>
      <w:r>
        <w:rPr>
          <w:rFonts w:hint="eastAsia" w:ascii="宋体" w:hAnsi="宋体"/>
          <w:b/>
          <w:bCs/>
          <w:highlight w:val="yellow"/>
        </w:rPr>
        <w:t>★（1）供应商配送食品必须安全可靠，且从未出现过配送食品安全事故，并出具相关承诺书</w:t>
      </w:r>
      <w:r>
        <w:rPr>
          <w:rFonts w:hint="eastAsia" w:ascii="宋体" w:hAnsi="宋体"/>
          <w:b/>
          <w:bCs/>
          <w:color w:val="FF0000"/>
          <w:highlight w:val="yellow"/>
        </w:rPr>
        <w:t>【提供承诺书（格式自拟）作为响应依据，未提供的视为负偏离，按投标无效处理】</w:t>
      </w:r>
      <w:r>
        <w:rPr>
          <w:rFonts w:hint="eastAsia" w:ascii="宋体" w:hAnsi="宋体"/>
          <w:b/>
          <w:bCs/>
          <w:highlight w:val="yellow"/>
        </w:rPr>
        <w:t>。</w:t>
      </w:r>
    </w:p>
    <w:p w14:paraId="1C77AE1D">
      <w:pPr>
        <w:spacing w:line="360" w:lineRule="auto"/>
        <w:ind w:firstLine="420" w:firstLineChars="200"/>
        <w:rPr>
          <w:rFonts w:ascii="宋体" w:hAnsi="宋体"/>
          <w:szCs w:val="21"/>
        </w:rPr>
      </w:pPr>
      <w:r>
        <w:rPr>
          <w:rFonts w:hint="eastAsia" w:ascii="宋体" w:hAnsi="宋体"/>
          <w:szCs w:val="21"/>
        </w:rPr>
        <w:t>（2）供应商配送的蔬菜、肉类、食材必须符合国家卫生标准，并且保证质量，不得有腐烂、变质物品。</w:t>
      </w:r>
    </w:p>
    <w:p w14:paraId="4BF02F27">
      <w:pPr>
        <w:spacing w:line="360" w:lineRule="auto"/>
        <w:ind w:firstLine="420" w:firstLineChars="200"/>
        <w:rPr>
          <w:rFonts w:ascii="宋体" w:hAnsi="宋体"/>
          <w:szCs w:val="21"/>
        </w:rPr>
      </w:pPr>
      <w:r>
        <w:rPr>
          <w:rFonts w:hint="eastAsia" w:ascii="宋体" w:hAnsi="宋体"/>
          <w:szCs w:val="21"/>
        </w:rPr>
        <w:t>（3）所送货品有保质期的不得超过保质期的1/3，要求包装完整、无外漏。采购人对不符合质量要求的货品可作退货或换货处理，并追究供应商相关责任。凡属于质量问题必须包退包换，退补货品需在1小时内补给，不能影响采购人正常供餐。</w:t>
      </w:r>
    </w:p>
    <w:p w14:paraId="0E22636E">
      <w:pPr>
        <w:spacing w:line="360" w:lineRule="auto"/>
        <w:ind w:firstLine="420" w:firstLineChars="200"/>
        <w:rPr>
          <w:rFonts w:ascii="宋体" w:hAnsi="宋体"/>
          <w:szCs w:val="21"/>
        </w:rPr>
      </w:pPr>
      <w:r>
        <w:rPr>
          <w:rFonts w:hint="eastAsia" w:ascii="宋体" w:hAnsi="宋体"/>
          <w:szCs w:val="21"/>
        </w:rPr>
        <w:t>（4）若因供应商配送食品、食材导致采购人出现食物安全事故时，经</w:t>
      </w:r>
      <w:r>
        <w:rPr>
          <w:rFonts w:hint="eastAsia" w:hAnsi="宋体"/>
          <w:szCs w:val="21"/>
        </w:rPr>
        <w:t>相关卫生部门</w:t>
      </w:r>
      <w:r>
        <w:rPr>
          <w:rFonts w:hint="eastAsia" w:ascii="宋体" w:hAnsi="宋体"/>
          <w:szCs w:val="21"/>
        </w:rPr>
        <w:t>检验，证明确属于供应商造成的，供应商必须承担经济与法律上的全部责任。</w:t>
      </w:r>
    </w:p>
    <w:p w14:paraId="5958B8BA">
      <w:pPr>
        <w:spacing w:line="360" w:lineRule="auto"/>
        <w:ind w:firstLine="420" w:firstLineChars="200"/>
        <w:rPr>
          <w:rFonts w:ascii="宋体" w:hAnsi="宋体"/>
          <w:szCs w:val="21"/>
        </w:rPr>
      </w:pPr>
      <w:r>
        <w:rPr>
          <w:rFonts w:hint="eastAsia" w:ascii="宋体" w:hAnsi="宋体"/>
          <w:szCs w:val="21"/>
        </w:rPr>
        <w:t>（5）如配送的货物不符合要求，一次提出口头警告并要求供应商作出书面保证，二次扣当天货款10%，不符合要求达到三次的，采购人可取消其当期供货资格、解除供货合同。</w:t>
      </w:r>
    </w:p>
    <w:p w14:paraId="106BAFC5">
      <w:pPr>
        <w:spacing w:line="360" w:lineRule="auto"/>
        <w:ind w:firstLine="420" w:firstLineChars="200"/>
        <w:rPr>
          <w:rFonts w:ascii="宋体" w:hAnsi="宋体"/>
          <w:szCs w:val="21"/>
        </w:rPr>
      </w:pPr>
      <w:r>
        <w:rPr>
          <w:rFonts w:hint="eastAsia" w:ascii="宋体" w:hAnsi="宋体"/>
          <w:szCs w:val="21"/>
        </w:rPr>
        <w:t>2.数量要求：</w:t>
      </w:r>
    </w:p>
    <w:p w14:paraId="674E8B5B">
      <w:pPr>
        <w:spacing w:line="360" w:lineRule="auto"/>
        <w:ind w:firstLine="420" w:firstLineChars="200"/>
        <w:rPr>
          <w:rFonts w:ascii="宋体" w:hAnsi="宋体"/>
          <w:szCs w:val="21"/>
        </w:rPr>
      </w:pPr>
      <w:r>
        <w:rPr>
          <w:rFonts w:hint="eastAsia" w:ascii="宋体" w:hAnsi="宋体"/>
          <w:szCs w:val="21"/>
        </w:rPr>
        <w:t>供应商和采购人在食品数量验收方面必须严格执行，不能弄虚作假，必须保证配送品种斤两的准确性，以采购人的验货数量为准，供应商每次随货送上一式两份的送货清单，供双方验货后签字确认，双方各持一份，作为送、收货的凭证。</w:t>
      </w:r>
    </w:p>
    <w:p w14:paraId="51862D5E">
      <w:pPr>
        <w:spacing w:line="360" w:lineRule="auto"/>
        <w:ind w:firstLine="420" w:firstLineChars="200"/>
        <w:rPr>
          <w:rFonts w:ascii="宋体" w:hAnsi="宋体"/>
          <w:szCs w:val="21"/>
        </w:rPr>
      </w:pPr>
      <w:r>
        <w:rPr>
          <w:rFonts w:hint="eastAsia" w:ascii="宋体" w:hAnsi="宋体"/>
          <w:szCs w:val="21"/>
        </w:rPr>
        <w:t>专门派一名员工跟单办理业务，按食堂每天制订的采购单进行配送。</w:t>
      </w:r>
    </w:p>
    <w:p w14:paraId="6C603C81">
      <w:pPr>
        <w:spacing w:line="360" w:lineRule="auto"/>
        <w:ind w:firstLine="420" w:firstLineChars="200"/>
        <w:rPr>
          <w:rFonts w:ascii="宋体" w:hAnsi="宋体"/>
          <w:szCs w:val="21"/>
        </w:rPr>
      </w:pPr>
      <w:r>
        <w:rPr>
          <w:rFonts w:hint="eastAsia" w:ascii="宋体" w:hAnsi="宋体"/>
          <w:szCs w:val="21"/>
        </w:rPr>
        <w:t>3.时间要求：</w:t>
      </w:r>
    </w:p>
    <w:p w14:paraId="0674E827">
      <w:pPr>
        <w:spacing w:line="360" w:lineRule="auto"/>
        <w:ind w:firstLine="420" w:firstLineChars="200"/>
        <w:rPr>
          <w:rFonts w:ascii="宋体" w:hAnsi="宋体"/>
          <w:szCs w:val="21"/>
        </w:rPr>
      </w:pPr>
      <w:r>
        <w:rPr>
          <w:rFonts w:hint="eastAsia" w:ascii="宋体" w:hAnsi="宋体"/>
          <w:szCs w:val="21"/>
        </w:rPr>
        <w:t>（1）需保证全年365天均能送货。</w:t>
      </w:r>
    </w:p>
    <w:p w14:paraId="0592247B">
      <w:pPr>
        <w:spacing w:line="360" w:lineRule="auto"/>
        <w:ind w:firstLine="420" w:firstLineChars="200"/>
        <w:rPr>
          <w:rFonts w:ascii="宋体" w:hAnsi="宋体"/>
          <w:szCs w:val="21"/>
        </w:rPr>
      </w:pPr>
      <w:r>
        <w:rPr>
          <w:rFonts w:hint="eastAsia" w:ascii="宋体" w:hAnsi="宋体"/>
          <w:szCs w:val="21"/>
        </w:rPr>
        <w:t>（2）必须在每天早上6：00前把所配送的食品按质按量送达采购人指定地点，由食堂工作人员验收核对后入库。超出约定时间30分钟，则将扣除该批货款10%违约处罚。如采购人对货物验收不合格导致退货的，退补货品需在1小时内补给。</w:t>
      </w:r>
    </w:p>
    <w:p w14:paraId="57A73E21">
      <w:pPr>
        <w:spacing w:line="360" w:lineRule="auto"/>
        <w:ind w:firstLine="420" w:firstLineChars="200"/>
        <w:rPr>
          <w:rFonts w:ascii="宋体" w:hAnsi="宋体"/>
          <w:szCs w:val="21"/>
        </w:rPr>
      </w:pPr>
      <w:r>
        <w:rPr>
          <w:rFonts w:hint="eastAsia" w:ascii="宋体" w:hAnsi="宋体"/>
          <w:szCs w:val="21"/>
        </w:rPr>
        <w:t>（3）采购人有需临时加送菜品（提前3小时通知供应商），供应商必须无条件按时送达。</w:t>
      </w:r>
    </w:p>
    <w:p w14:paraId="11103C7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）若有特殊情况，需提前通知采购人，双方协商解决。在通知采购人后，供应商配送到达时间不得超过约定时间；如供应商在规定时间内没有配送到，给采购人带来一切经济后果将由供应商承担。</w:t>
      </w:r>
    </w:p>
    <w:p w14:paraId="63EDEEFF">
      <w:pPr>
        <w:spacing w:line="360" w:lineRule="auto"/>
        <w:ind w:firstLine="420" w:firstLineChars="200"/>
        <w:rPr>
          <w:rFonts w:ascii="宋体" w:hAnsi="宋体"/>
          <w:szCs w:val="21"/>
        </w:rPr>
      </w:pPr>
      <w:r>
        <w:rPr>
          <w:rFonts w:hint="eastAsia" w:ascii="宋体" w:hAnsi="宋体"/>
          <w:szCs w:val="21"/>
        </w:rPr>
        <w:t>4.品牌及品种调整：</w:t>
      </w:r>
    </w:p>
    <w:p w14:paraId="788AEDB5">
      <w:pPr>
        <w:spacing w:line="360" w:lineRule="auto"/>
        <w:ind w:firstLine="420" w:firstLineChars="200"/>
        <w:rPr>
          <w:rFonts w:ascii="宋体" w:hAnsi="宋体"/>
          <w:szCs w:val="21"/>
        </w:rPr>
      </w:pPr>
      <w:r>
        <w:rPr>
          <w:rFonts w:hint="eastAsia" w:ascii="宋体" w:hAnsi="宋体"/>
          <w:szCs w:val="21"/>
        </w:rPr>
        <w:t>（1）如遇所投品牌或品种停止生产经营，或产地发生台风、海啸等不可抗力的自然灾害导致无法配送的，供应商负责举证并提出书面申请和相应的解决方案，采购人应当成立讨论小组商决应对方案。</w:t>
      </w:r>
    </w:p>
    <w:p w14:paraId="21B53656">
      <w:pPr>
        <w:spacing w:line="360" w:lineRule="auto"/>
        <w:ind w:firstLine="420" w:firstLineChars="200"/>
        <w:rPr>
          <w:rFonts w:ascii="宋体" w:hAnsi="宋体"/>
          <w:szCs w:val="21"/>
        </w:rPr>
      </w:pPr>
      <w:r>
        <w:rPr>
          <w:rFonts w:hint="eastAsia" w:ascii="宋体" w:hAnsi="宋体"/>
          <w:szCs w:val="21"/>
        </w:rPr>
        <w:t>（2）如遇中农数据网无相关报价的，以采购人组织到大型超市或农贸市场进行考察确定价格的合理性。</w:t>
      </w:r>
    </w:p>
    <w:p w14:paraId="5B51039B">
      <w:pPr>
        <w:spacing w:line="360" w:lineRule="auto"/>
        <w:ind w:firstLine="420" w:firstLineChars="200"/>
        <w:rPr>
          <w:rFonts w:ascii="宋体" w:hAnsi="宋体"/>
          <w:szCs w:val="21"/>
        </w:rPr>
      </w:pPr>
      <w:r>
        <w:rPr>
          <w:rFonts w:hint="eastAsia" w:ascii="宋体" w:hAnsi="宋体"/>
          <w:szCs w:val="21"/>
        </w:rPr>
        <w:t>5.责任界定:</w:t>
      </w:r>
    </w:p>
    <w:p w14:paraId="12AAB8BD">
      <w:pPr>
        <w:spacing w:line="360" w:lineRule="auto"/>
        <w:ind w:firstLine="420" w:firstLineChars="200"/>
        <w:rPr>
          <w:rFonts w:ascii="宋体" w:hAnsi="宋体"/>
          <w:szCs w:val="21"/>
        </w:rPr>
      </w:pPr>
      <w:r>
        <w:rPr>
          <w:rFonts w:hint="eastAsia" w:ascii="宋体" w:hAnsi="宋体"/>
          <w:szCs w:val="21"/>
        </w:rPr>
        <w:t>（1）供应商的食品必须符合国家有关部门规定的食品安全标准，如果因供应商所供货的食品造成采购人就餐人员食物中毒或不适送医的，经相关部门鉴定，属供应商责任，供应商须承担全部法律责任并作出全部的经济赔偿。</w:t>
      </w:r>
    </w:p>
    <w:p w14:paraId="53B1F892">
      <w:pPr>
        <w:spacing w:line="360" w:lineRule="auto"/>
        <w:ind w:firstLine="420" w:firstLineChars="200"/>
        <w:rPr>
          <w:rFonts w:ascii="宋体" w:hAnsi="宋体"/>
          <w:szCs w:val="21"/>
        </w:rPr>
      </w:pPr>
      <w:r>
        <w:rPr>
          <w:rFonts w:hint="eastAsia" w:ascii="宋体" w:hAnsi="宋体"/>
          <w:szCs w:val="21"/>
        </w:rPr>
        <w:t>（2）供应商的粗加工人员和配送人员在服务过程中如遇到人员伤亡事故由供应商负全部责任，与采购人无关。</w:t>
      </w:r>
    </w:p>
    <w:p w14:paraId="19977E20">
      <w:pPr>
        <w:spacing w:line="360" w:lineRule="auto"/>
        <w:ind w:firstLine="420" w:firstLineChars="200"/>
        <w:rPr>
          <w:rFonts w:ascii="宋体" w:hAnsi="宋体"/>
          <w:szCs w:val="21"/>
        </w:rPr>
      </w:pPr>
      <w:r>
        <w:rPr>
          <w:rFonts w:hint="eastAsia" w:ascii="宋体" w:hAnsi="宋体"/>
          <w:szCs w:val="21"/>
        </w:rPr>
        <w:t>6.其他要求：</w:t>
      </w:r>
    </w:p>
    <w:p w14:paraId="08B21820">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供应商需根据采购人要求提供对</w:t>
      </w:r>
      <w:r>
        <w:rPr>
          <w:rFonts w:hint="eastAsia" w:ascii="宋体" w:hAnsi="宋体"/>
          <w:szCs w:val="21"/>
        </w:rPr>
        <w:t>肉类、禽类等进行分割称重，粗加工处理后配送到食堂。</w:t>
      </w:r>
    </w:p>
    <w:p w14:paraId="382C7FE6">
      <w:pPr>
        <w:spacing w:line="360" w:lineRule="auto"/>
        <w:ind w:firstLine="420" w:firstLineChars="200"/>
        <w:rPr>
          <w:rFonts w:ascii="宋体" w:hAnsi="宋体"/>
          <w:szCs w:val="21"/>
        </w:rPr>
      </w:pPr>
      <w:r>
        <w:rPr>
          <w:rFonts w:hint="eastAsia" w:ascii="宋体" w:hAnsi="宋体"/>
          <w:szCs w:val="21"/>
        </w:rPr>
        <w:t>（2）供应商定期附送科学健康饮食报刊。</w:t>
      </w:r>
    </w:p>
    <w:p w14:paraId="6302EE59">
      <w:pPr>
        <w:spacing w:line="360" w:lineRule="auto"/>
        <w:ind w:firstLine="420" w:firstLineChars="200"/>
        <w:rPr>
          <w:rFonts w:ascii="宋体" w:hAnsi="宋体"/>
          <w:szCs w:val="21"/>
        </w:rPr>
      </w:pPr>
      <w:r>
        <w:rPr>
          <w:rFonts w:hint="eastAsia" w:ascii="宋体" w:hAnsi="宋体"/>
          <w:szCs w:val="21"/>
        </w:rPr>
        <w:t>（3）供应商定期有温馨提示，提示哪些蔬菜瓜果质量较差，哪些价格涨幅大等信息。</w:t>
      </w:r>
    </w:p>
    <w:p w14:paraId="2093B0D6">
      <w:pPr>
        <w:spacing w:line="360" w:lineRule="auto"/>
        <w:ind w:firstLine="420" w:firstLineChars="200"/>
        <w:rPr>
          <w:rFonts w:ascii="宋体" w:hAnsi="宋体"/>
          <w:szCs w:val="21"/>
        </w:rPr>
      </w:pPr>
      <w:r>
        <w:rPr>
          <w:rFonts w:hint="eastAsia" w:ascii="宋体" w:hAnsi="宋体"/>
          <w:szCs w:val="21"/>
        </w:rPr>
        <w:t>（4）若突发公共卫生事件、食品安全事件等，供应商须无条件配合采购人或相关部门要求进行调查，且按照相关要求执行配送服务。</w:t>
      </w:r>
    </w:p>
    <w:p w14:paraId="1B8E5EB8">
      <w:pPr>
        <w:spacing w:line="360" w:lineRule="auto"/>
        <w:ind w:firstLine="422" w:firstLineChars="200"/>
        <w:rPr>
          <w:rFonts w:ascii="宋体" w:hAnsi="宋体"/>
          <w:b/>
          <w:bCs/>
          <w:szCs w:val="21"/>
        </w:rPr>
      </w:pPr>
      <w:r>
        <w:rPr>
          <w:rFonts w:hint="eastAsia" w:ascii="宋体" w:hAnsi="宋体"/>
          <w:b/>
          <w:bCs/>
          <w:szCs w:val="21"/>
        </w:rPr>
        <w:t>（二）质量管理要求</w:t>
      </w:r>
    </w:p>
    <w:p w14:paraId="6421CF77">
      <w:pPr>
        <w:spacing w:line="360" w:lineRule="auto"/>
        <w:ind w:firstLine="422" w:firstLineChars="200"/>
        <w:rPr>
          <w:rFonts w:ascii="宋体" w:hAnsi="宋体"/>
          <w:b/>
          <w:bCs/>
          <w:szCs w:val="21"/>
        </w:rPr>
      </w:pPr>
      <w:r>
        <w:rPr>
          <w:rFonts w:hint="eastAsia" w:ascii="宋体" w:hAnsi="宋体"/>
          <w:b/>
          <w:bCs/>
          <w:szCs w:val="21"/>
        </w:rPr>
        <w:t>1.肉类（含生鲜猪、牛肉类、冻品、鱼类、熟食等）</w:t>
      </w:r>
    </w:p>
    <w:p w14:paraId="6A3BFF26">
      <w:pPr>
        <w:spacing w:line="360" w:lineRule="auto"/>
        <w:ind w:firstLine="420" w:firstLineChars="200"/>
        <w:rPr>
          <w:rFonts w:ascii="宋体" w:hAnsi="宋体"/>
          <w:szCs w:val="21"/>
        </w:rPr>
      </w:pPr>
      <w:r>
        <w:rPr>
          <w:rFonts w:hint="eastAsia" w:ascii="宋体" w:hAnsi="宋体"/>
          <w:szCs w:val="21"/>
        </w:rPr>
        <w:t>（1）供应产品质量要求:</w:t>
      </w:r>
    </w:p>
    <w:p w14:paraId="1DA49826">
      <w:pPr>
        <w:spacing w:line="360" w:lineRule="auto"/>
        <w:ind w:firstLine="420" w:firstLineChars="200"/>
        <w:rPr>
          <w:rFonts w:ascii="宋体" w:hAnsi="宋体"/>
          <w:szCs w:val="21"/>
        </w:rPr>
      </w:pPr>
      <w:r>
        <w:rPr>
          <w:rFonts w:hint="eastAsia" w:ascii="宋体" w:hAnsi="宋体"/>
          <w:szCs w:val="21"/>
        </w:rPr>
        <w:t>所供货物应保持较好的外观和质量等级，符合国家食品部门的有关标准，保证无异味、无霉烂、无变质，肉类保证来源于正规肉屠宰场，供货时须提交屠宰场的验收单及当批次有效的动物检疫合格证复印件（原件备查）,保证经过肉检（卫生部门检疫）的新鲜肉，肉身必须盖有卫生检疫章。新鲜肉确保每日新鲜，为当天正规屠宰场宰杀的新鲜肉，肉品须表皮洁净，膘厚适中、色泽鲜亮、纹理清晰、肉质细腻、无异味、去骨、无毛、按压无水迹。冷冻肉要求肉体冻实而坚硬，无化冻现象，肉质紧密而有弹性，色泽均匀，不粘手，交货时干净、新鲜、无异味；冷冻鱼类要求鱼眼睛清亮，角膜透明，鳞片上覆有冻结的透明黏液层，皮肤天然色泽明显。</w:t>
      </w:r>
    </w:p>
    <w:p w14:paraId="330A82C6">
      <w:pPr>
        <w:spacing w:line="360" w:lineRule="auto"/>
        <w:ind w:firstLine="420" w:firstLineChars="200"/>
        <w:rPr>
          <w:rFonts w:ascii="宋体" w:hAnsi="宋体"/>
          <w:szCs w:val="21"/>
        </w:rPr>
      </w:pPr>
      <w:r>
        <w:rPr>
          <w:rFonts w:hint="eastAsia" w:ascii="宋体" w:hAnsi="宋体"/>
          <w:szCs w:val="21"/>
        </w:rPr>
        <w:t>所有货物规格符合采购人提交的日采购计划中明确的具体需求。</w:t>
      </w:r>
    </w:p>
    <w:p w14:paraId="2D57FB4C">
      <w:pPr>
        <w:spacing w:line="360" w:lineRule="auto"/>
        <w:ind w:firstLine="420" w:firstLineChars="200"/>
        <w:rPr>
          <w:rFonts w:ascii="宋体" w:hAnsi="宋体"/>
          <w:szCs w:val="21"/>
        </w:rPr>
      </w:pPr>
      <w:r>
        <w:rPr>
          <w:rFonts w:hint="eastAsia" w:ascii="宋体" w:hAnsi="宋体"/>
          <w:szCs w:val="21"/>
        </w:rPr>
        <w:t>冷冻禽类食品解冻后净重量不少于90％，冷冻肉类食品解冻后净重量不少于92%，冷冻水产类食品解冻后净重量不少于82%，解冻时间为4小时以内（室温20℃）。所有冷冻食品要求清晰列出产品品牌、规格、类型、包装方式、包装净重、含冰量等相关参数。</w:t>
      </w:r>
    </w:p>
    <w:p w14:paraId="6FC0F8EE">
      <w:pPr>
        <w:spacing w:line="360" w:lineRule="auto"/>
        <w:ind w:firstLine="420" w:firstLineChars="200"/>
        <w:rPr>
          <w:rFonts w:ascii="宋体" w:hAnsi="宋体"/>
          <w:szCs w:val="21"/>
        </w:rPr>
      </w:pPr>
      <w:r>
        <w:rPr>
          <w:rFonts w:hint="eastAsia" w:ascii="宋体" w:hAnsi="宋体"/>
          <w:szCs w:val="21"/>
        </w:rPr>
        <w:t>熟食包括烧鸡、烧鸭、烧鹅等。熟食（特别是鲜制熟食）保质期较短，保鲜要求高，供应的熟食需保证产品的品质。</w:t>
      </w:r>
    </w:p>
    <w:p w14:paraId="5F2485AF">
      <w:pPr>
        <w:spacing w:line="360" w:lineRule="auto"/>
        <w:ind w:firstLine="420" w:firstLineChars="200"/>
        <w:rPr>
          <w:rFonts w:ascii="宋体" w:hAnsi="宋体"/>
          <w:szCs w:val="21"/>
        </w:rPr>
      </w:pPr>
      <w:r>
        <w:rPr>
          <w:rFonts w:hint="eastAsia" w:ascii="宋体" w:hAnsi="宋体"/>
          <w:szCs w:val="21"/>
        </w:rPr>
        <w:t>若采购人有要求，供应商应在采购人所要求的食堂附近25公里范围内设有合格固定的冷藏库。</w:t>
      </w:r>
    </w:p>
    <w:p w14:paraId="252AAB4E">
      <w:pPr>
        <w:spacing w:line="360" w:lineRule="auto"/>
        <w:ind w:firstLine="420" w:firstLineChars="200"/>
        <w:rPr>
          <w:rFonts w:ascii="宋体" w:hAnsi="宋体"/>
          <w:szCs w:val="21"/>
        </w:rPr>
      </w:pPr>
      <w:r>
        <w:rPr>
          <w:rFonts w:hint="eastAsia" w:ascii="宋体" w:hAnsi="宋体"/>
          <w:szCs w:val="21"/>
        </w:rPr>
        <w:t>如供应商不能按时、保质、保量供货，由采购人自行采购，并承担采购人由此造成的经济损失和接受违约处罚。</w:t>
      </w:r>
    </w:p>
    <w:p w14:paraId="41624E66">
      <w:pPr>
        <w:spacing w:line="360" w:lineRule="auto"/>
        <w:ind w:firstLine="420" w:firstLineChars="200"/>
        <w:rPr>
          <w:rFonts w:ascii="宋体" w:hAnsi="宋体"/>
          <w:szCs w:val="21"/>
        </w:rPr>
      </w:pPr>
      <w:r>
        <w:rPr>
          <w:rFonts w:hint="eastAsia" w:ascii="宋体" w:hAnsi="宋体"/>
          <w:szCs w:val="21"/>
        </w:rPr>
        <w:t>供应商提供家禽类及肉制品应有《卫生检疫报告》、《产品合格证》资质证明。</w:t>
      </w:r>
    </w:p>
    <w:p w14:paraId="03D11221">
      <w:pPr>
        <w:spacing w:line="360" w:lineRule="auto"/>
        <w:ind w:firstLine="420" w:firstLineChars="200"/>
        <w:rPr>
          <w:rFonts w:ascii="宋体" w:hAnsi="宋体"/>
          <w:szCs w:val="21"/>
        </w:rPr>
      </w:pPr>
      <w:r>
        <w:rPr>
          <w:rFonts w:hint="eastAsia" w:ascii="宋体" w:hAnsi="宋体"/>
          <w:szCs w:val="21"/>
        </w:rPr>
        <w:t>（2）产品配送要求：</w:t>
      </w:r>
    </w:p>
    <w:p w14:paraId="3BB2D302">
      <w:pPr>
        <w:spacing w:line="360" w:lineRule="auto"/>
        <w:ind w:firstLine="420" w:firstLineChars="200"/>
        <w:rPr>
          <w:rFonts w:ascii="宋体" w:hAnsi="宋体"/>
          <w:szCs w:val="21"/>
        </w:rPr>
      </w:pPr>
      <w:r>
        <w:rPr>
          <w:rFonts w:hint="eastAsia" w:ascii="宋体" w:hAnsi="宋体"/>
          <w:szCs w:val="21"/>
        </w:rPr>
        <w:t>食品运输必须采用符合卫生要求的外包装和运载工具，并且要保持清洁和定期消毒。运输车厢的内仓，包括地面、墙面和顶，应为抗腐蚀、防潮，防虫、防鼠的设计，车厢内无不良气味、异味。</w:t>
      </w:r>
    </w:p>
    <w:p w14:paraId="4F8BC648">
      <w:pPr>
        <w:spacing w:line="360" w:lineRule="auto"/>
        <w:ind w:firstLine="420" w:firstLineChars="200"/>
        <w:rPr>
          <w:rFonts w:ascii="宋体" w:hAnsi="宋体"/>
          <w:szCs w:val="21"/>
        </w:rPr>
      </w:pPr>
      <w:r>
        <w:rPr>
          <w:rFonts w:hint="eastAsia" w:ascii="宋体" w:hAnsi="宋体"/>
          <w:szCs w:val="21"/>
        </w:rPr>
        <w:t>冷藏、冷冻食品必须用专用冷藏、冷冻载具运输，应当有必要的保温设备并在整个运输过程中保持安全的冷藏、冷冻温度。特别是对于长途运输的食品，保证食品在运输全过程处于合适的温度范围。</w:t>
      </w:r>
    </w:p>
    <w:p w14:paraId="693B8EE0">
      <w:pPr>
        <w:spacing w:line="360" w:lineRule="auto"/>
        <w:ind w:firstLine="420" w:firstLineChars="200"/>
        <w:rPr>
          <w:rFonts w:ascii="宋体" w:hAnsi="宋体"/>
          <w:szCs w:val="21"/>
        </w:rPr>
      </w:pPr>
      <w:r>
        <w:rPr>
          <w:rFonts w:hint="eastAsia" w:ascii="宋体" w:hAnsi="宋体"/>
          <w:szCs w:val="21"/>
        </w:rPr>
        <w:t>整个运输过程应科学合理，运输车辆应定期清洁，保持性能稳定，符合规定的温度要求，使运输食品处于恒定的环境中。</w:t>
      </w:r>
    </w:p>
    <w:p w14:paraId="4098D585">
      <w:pPr>
        <w:spacing w:line="360" w:lineRule="auto"/>
        <w:ind w:firstLine="420" w:firstLineChars="200"/>
        <w:rPr>
          <w:rFonts w:ascii="宋体" w:hAnsi="宋体"/>
          <w:szCs w:val="21"/>
        </w:rPr>
      </w:pPr>
      <w:r>
        <w:rPr>
          <w:rFonts w:hint="eastAsia" w:ascii="宋体" w:hAnsi="宋体"/>
          <w:szCs w:val="21"/>
        </w:rPr>
        <w:t>送货车辆实行1小时配送圈运作，在1小时内的用保温车配送，1小时以外的用制冷车配送，保证肉类中心温度控制在-2-7℃的范围之内，保证运输过程冷链不中断。商品到达目的地时外包装箱干爽，无软化现象。</w:t>
      </w:r>
    </w:p>
    <w:p w14:paraId="4646C9FA">
      <w:pPr>
        <w:spacing w:line="360" w:lineRule="auto"/>
        <w:ind w:firstLine="420" w:firstLineChars="200"/>
        <w:rPr>
          <w:rFonts w:ascii="宋体" w:hAnsi="宋体"/>
          <w:szCs w:val="21"/>
        </w:rPr>
      </w:pPr>
      <w:r>
        <w:rPr>
          <w:rFonts w:hint="eastAsia" w:ascii="宋体" w:hAnsi="宋体"/>
          <w:szCs w:val="21"/>
        </w:rPr>
        <w:t>（3）卸货要求：</w:t>
      </w:r>
    </w:p>
    <w:p w14:paraId="06E50137">
      <w:pPr>
        <w:spacing w:line="360" w:lineRule="auto"/>
        <w:ind w:firstLine="420" w:firstLineChars="200"/>
        <w:rPr>
          <w:rFonts w:ascii="宋体" w:hAnsi="宋体"/>
          <w:szCs w:val="21"/>
        </w:rPr>
      </w:pPr>
      <w:r>
        <w:rPr>
          <w:rFonts w:hint="eastAsia" w:ascii="宋体" w:hAnsi="宋体"/>
          <w:szCs w:val="21"/>
        </w:rPr>
        <w:t>送货车辆应保持清洁；食品堆放科学合理，避免造成食品的交叉污染；如对温度有要求的食品应确定食品的温度，记录送货车辆温度，并记录存档。</w:t>
      </w:r>
    </w:p>
    <w:p w14:paraId="56C96F2D">
      <w:pPr>
        <w:spacing w:line="360" w:lineRule="auto"/>
        <w:ind w:firstLine="420" w:firstLineChars="200"/>
        <w:rPr>
          <w:rFonts w:ascii="宋体" w:hAnsi="宋体"/>
          <w:szCs w:val="21"/>
        </w:rPr>
      </w:pPr>
      <w:r>
        <w:rPr>
          <w:rFonts w:hint="eastAsia" w:ascii="宋体" w:hAnsi="宋体"/>
          <w:szCs w:val="21"/>
        </w:rPr>
        <w:t>在本环节中应保证冷藏食品脱离冷链时间不得超过20分钟，冷冻食品脱离冷链时间不得超过30分钟。</w:t>
      </w:r>
    </w:p>
    <w:p w14:paraId="4C28AB1E">
      <w:pPr>
        <w:spacing w:line="360" w:lineRule="auto"/>
        <w:ind w:firstLine="420" w:firstLineChars="200"/>
        <w:rPr>
          <w:rFonts w:ascii="宋体" w:hAnsi="宋体"/>
          <w:szCs w:val="21"/>
        </w:rPr>
      </w:pPr>
      <w:r>
        <w:rPr>
          <w:rFonts w:hint="eastAsia" w:ascii="宋体" w:hAnsi="宋体"/>
          <w:szCs w:val="21"/>
        </w:rPr>
        <w:t>（4）冻肉质量的基本检查：</w:t>
      </w:r>
    </w:p>
    <w:p w14:paraId="70F6291E">
      <w:pPr>
        <w:spacing w:line="360" w:lineRule="auto"/>
        <w:ind w:firstLine="420" w:firstLineChars="200"/>
        <w:rPr>
          <w:rFonts w:ascii="宋体" w:hAnsi="宋体"/>
          <w:szCs w:val="21"/>
        </w:rPr>
      </w:pPr>
      <w:r>
        <w:rPr>
          <w:rFonts w:hint="eastAsia" w:ascii="宋体" w:hAnsi="宋体"/>
          <w:szCs w:val="21"/>
        </w:rPr>
        <w:t>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066AB555">
      <w:pPr>
        <w:spacing w:line="360" w:lineRule="auto"/>
        <w:ind w:firstLine="420" w:firstLineChars="200"/>
        <w:rPr>
          <w:rFonts w:ascii="宋体" w:hAnsi="宋体"/>
          <w:szCs w:val="21"/>
        </w:rPr>
      </w:pPr>
      <w:r>
        <w:rPr>
          <w:rFonts w:hint="eastAsia" w:ascii="宋体" w:hAnsi="宋体"/>
          <w:szCs w:val="21"/>
        </w:rPr>
        <w:t>冻肉类食品包装必须符合国家规范，采购的食品不得存放在有毒、有害的容器和承载物内。食品包装上必须使用原产地标识，应注明：制造商名称和厂址、食品名称和重（容）量、生产日期和保质期限以及规格和QS认证等。</w:t>
      </w:r>
    </w:p>
    <w:p w14:paraId="35E27571">
      <w:pPr>
        <w:spacing w:line="360" w:lineRule="auto"/>
        <w:ind w:firstLine="420" w:firstLineChars="200"/>
        <w:rPr>
          <w:rFonts w:ascii="宋体" w:hAnsi="宋体"/>
          <w:szCs w:val="21"/>
        </w:rPr>
      </w:pPr>
      <w:r>
        <w:rPr>
          <w:rFonts w:hint="eastAsia" w:ascii="宋体" w:hAnsi="宋体"/>
          <w:szCs w:val="21"/>
        </w:rPr>
        <w:t>对不符合采购要求的冻肉类食品由验收人员提出清退，如双方对质量争议的退货前应实行留板备案，可送深圳市或采购人所在地地级市以上质监部门检测，对缺斤短两（或含冰量超标）的应按实际重量扣减。</w:t>
      </w:r>
    </w:p>
    <w:p w14:paraId="2933742E">
      <w:pPr>
        <w:spacing w:line="360" w:lineRule="auto"/>
        <w:ind w:firstLine="420" w:firstLineChars="200"/>
        <w:rPr>
          <w:rFonts w:ascii="宋体" w:hAnsi="宋体"/>
          <w:szCs w:val="21"/>
        </w:rPr>
      </w:pPr>
      <w:r>
        <w:rPr>
          <w:rFonts w:hint="eastAsia" w:ascii="宋体" w:hAnsi="宋体"/>
          <w:szCs w:val="21"/>
        </w:rPr>
        <w:t>（5）冻肉类食品验收发现问题时的处理办法：</w:t>
      </w:r>
    </w:p>
    <w:p w14:paraId="243569CA">
      <w:pPr>
        <w:spacing w:line="360" w:lineRule="auto"/>
        <w:ind w:firstLine="420" w:firstLineChars="200"/>
        <w:rPr>
          <w:rFonts w:ascii="宋体" w:hAnsi="宋体"/>
          <w:szCs w:val="21"/>
        </w:rPr>
      </w:pPr>
      <w:r>
        <w:rPr>
          <w:rFonts w:hint="eastAsia" w:ascii="宋体" w:hAnsi="宋体"/>
          <w:szCs w:val="21"/>
        </w:rPr>
        <w:t>按后附产品质量描述对货物质量进行抽查。</w:t>
      </w:r>
    </w:p>
    <w:p w14:paraId="3D639767">
      <w:pPr>
        <w:spacing w:line="360" w:lineRule="auto"/>
        <w:ind w:firstLine="420" w:firstLineChars="200"/>
        <w:rPr>
          <w:rFonts w:ascii="宋体" w:hAnsi="宋体"/>
          <w:szCs w:val="21"/>
        </w:rPr>
      </w:pPr>
      <w:r>
        <w:rPr>
          <w:rFonts w:hint="eastAsia" w:ascii="宋体" w:hAnsi="宋体"/>
          <w:szCs w:val="21"/>
        </w:rPr>
        <w:t>抽查发现食品安全质量问题的处理：对危及人身安全的食品质量问题采取零容忍措施，一经发现，当日所送同批次产品全部退货，如水产品中发现河豚鱼，发现腐败变质肉类等。</w:t>
      </w:r>
    </w:p>
    <w:p w14:paraId="460A7F01">
      <w:pPr>
        <w:spacing w:line="360" w:lineRule="auto"/>
        <w:ind w:firstLine="420" w:firstLineChars="200"/>
        <w:rPr>
          <w:rFonts w:ascii="宋体" w:hAnsi="宋体"/>
          <w:szCs w:val="21"/>
        </w:rPr>
      </w:pPr>
      <w:r>
        <w:rPr>
          <w:rFonts w:hint="eastAsia" w:ascii="宋体" w:hAnsi="宋体"/>
          <w:szCs w:val="21"/>
        </w:rPr>
        <w:t>若抽查未发现问题，而在加工食用前发现部分产品质量问题，应立即通知供应商，将问题产品退货处理。</w:t>
      </w:r>
    </w:p>
    <w:p w14:paraId="62B4977A">
      <w:pPr>
        <w:spacing w:line="360" w:lineRule="auto"/>
        <w:ind w:firstLine="420" w:firstLineChars="200"/>
        <w:rPr>
          <w:rFonts w:ascii="宋体" w:hAnsi="宋体"/>
          <w:szCs w:val="21"/>
        </w:rPr>
      </w:pPr>
      <w:r>
        <w:rPr>
          <w:rFonts w:hint="eastAsia" w:ascii="宋体" w:hAnsi="宋体"/>
          <w:szCs w:val="21"/>
        </w:rPr>
        <w:t>抽查发现资质证照不全问题的处理：</w:t>
      </w:r>
    </w:p>
    <w:p w14:paraId="27833D6D">
      <w:pPr>
        <w:spacing w:line="360" w:lineRule="auto"/>
        <w:ind w:firstLine="420" w:firstLineChars="200"/>
        <w:rPr>
          <w:rFonts w:ascii="宋体" w:hAnsi="宋体"/>
          <w:szCs w:val="21"/>
        </w:rPr>
      </w:pPr>
      <w:r>
        <w:rPr>
          <w:rFonts w:hint="eastAsia" w:ascii="宋体" w:hAnsi="宋体"/>
          <w:szCs w:val="21"/>
        </w:rPr>
        <w:t>整批产品无政府部门出具的动植物检疫合格证明的全部退货；</w:t>
      </w:r>
    </w:p>
    <w:p w14:paraId="003801CE">
      <w:pPr>
        <w:spacing w:line="360" w:lineRule="auto"/>
        <w:ind w:firstLine="420" w:firstLineChars="200"/>
        <w:rPr>
          <w:rFonts w:ascii="宋体" w:hAnsi="宋体"/>
          <w:szCs w:val="21"/>
        </w:rPr>
      </w:pPr>
      <w:r>
        <w:rPr>
          <w:rFonts w:hint="eastAsia" w:ascii="宋体" w:hAnsi="宋体"/>
          <w:szCs w:val="21"/>
        </w:rPr>
        <w:t>抽查发现部分产品无政府部门出具的动植物检疫合格证明，加抽15%，两次抽查数50%以上没有动植物检疫合格证明的，全部退货；50%以下没有动植物检疫合格证明的，将无动植物检疫合格证明的货物退货；</w:t>
      </w:r>
    </w:p>
    <w:p w14:paraId="43B5EBF3">
      <w:pPr>
        <w:spacing w:line="360" w:lineRule="auto"/>
        <w:ind w:firstLine="420" w:firstLineChars="200"/>
        <w:rPr>
          <w:rFonts w:ascii="宋体" w:hAnsi="宋体"/>
          <w:szCs w:val="21"/>
        </w:rPr>
      </w:pPr>
      <w:r>
        <w:rPr>
          <w:rFonts w:hint="eastAsia" w:ascii="宋体" w:hAnsi="宋体"/>
          <w:szCs w:val="21"/>
        </w:rPr>
        <w:t>整批产品有省地市出具的动植物检疫合格证明，随箱产品合格证不齐全的，加抽15%，两次抽查数50%以上没有产品合格证的，全部退货；50%以下没有产品合格证明的，将无产品合格证明的货物退货；</w:t>
      </w:r>
    </w:p>
    <w:p w14:paraId="7BBDFACB">
      <w:pPr>
        <w:spacing w:line="360" w:lineRule="auto"/>
        <w:ind w:firstLine="420" w:firstLineChars="200"/>
        <w:rPr>
          <w:rFonts w:ascii="宋体" w:hAnsi="宋体"/>
          <w:szCs w:val="21"/>
        </w:rPr>
      </w:pPr>
      <w:r>
        <w:rPr>
          <w:rFonts w:hint="eastAsia" w:ascii="宋体" w:hAnsi="宋体"/>
          <w:szCs w:val="21"/>
        </w:rPr>
        <w:t>肉制品无疾病控制或质量技术监督部门出具的同类产品半年内有效检验报告，作退货处理；随箱产品合格证不齐全的，加抽15%，两次抽查数50%以上没有产品合格证的，全部退货；50%以下没有产品合格证明的，将无产品合格证明的货物退货。</w:t>
      </w:r>
    </w:p>
    <w:p w14:paraId="0F7051DF">
      <w:pPr>
        <w:spacing w:line="360" w:lineRule="auto"/>
        <w:ind w:firstLine="420" w:firstLineChars="200"/>
        <w:rPr>
          <w:rFonts w:ascii="宋体" w:hAnsi="宋体"/>
          <w:szCs w:val="21"/>
        </w:rPr>
      </w:pPr>
      <w:r>
        <w:rPr>
          <w:rFonts w:hint="eastAsia" w:ascii="宋体" w:hAnsi="宋体"/>
          <w:szCs w:val="21"/>
        </w:rPr>
        <w:t>（6）货物重量验收：</w:t>
      </w:r>
    </w:p>
    <w:p w14:paraId="778E8CF8">
      <w:pPr>
        <w:spacing w:line="360" w:lineRule="auto"/>
        <w:ind w:firstLine="420" w:firstLineChars="200"/>
        <w:rPr>
          <w:rFonts w:ascii="宋体" w:hAnsi="宋体"/>
          <w:szCs w:val="21"/>
        </w:rPr>
      </w:pPr>
      <w:r>
        <w:rPr>
          <w:rFonts w:hint="eastAsia" w:ascii="宋体" w:hAnsi="宋体"/>
          <w:szCs w:val="21"/>
        </w:rPr>
        <w:t>冻肉类：双方各随机抽取每品种货物一箱，去包装，在流动的10-25℃清水中浸泡解冻至表面冰层融化，个体能够分离为止，充分摊开货物沥水三分钟后称重，取双方抽取样本均值为该产品本批次种货物的验收重量。</w:t>
      </w:r>
    </w:p>
    <w:p w14:paraId="704C3400">
      <w:pPr>
        <w:spacing w:line="360" w:lineRule="auto"/>
        <w:ind w:firstLine="420" w:firstLineChars="200"/>
        <w:rPr>
          <w:rFonts w:ascii="宋体" w:hAnsi="宋体"/>
          <w:szCs w:val="21"/>
        </w:rPr>
      </w:pPr>
      <w:r>
        <w:rPr>
          <w:rFonts w:hint="eastAsia" w:ascii="宋体" w:hAnsi="宋体"/>
          <w:szCs w:val="21"/>
        </w:rPr>
        <w:t>水产类：双方各随机抽取每品种货物两箱，去包装，在流动的10-25℃清水中浸泡解冻至表面冰层融化，个体能够分离为止，充分摊开货物沥水三分钟后称重，取双方抽取样本均值为该产品本批次种货物的验收重量。</w:t>
      </w:r>
    </w:p>
    <w:p w14:paraId="02624BD4">
      <w:pPr>
        <w:spacing w:line="360" w:lineRule="auto"/>
        <w:ind w:firstLine="420" w:firstLineChars="200"/>
        <w:rPr>
          <w:rFonts w:ascii="宋体" w:hAnsi="宋体"/>
          <w:szCs w:val="21"/>
        </w:rPr>
      </w:pPr>
      <w:r>
        <w:rPr>
          <w:rFonts w:hint="eastAsia" w:ascii="宋体" w:hAnsi="宋体"/>
          <w:szCs w:val="21"/>
        </w:rPr>
        <w:t>新鲜肉类（不含猪肉）、丸类、火腿、腊肠类等不含冰货物直接称重验收。</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763"/>
        <w:gridCol w:w="1328"/>
        <w:gridCol w:w="752"/>
        <w:gridCol w:w="6235"/>
      </w:tblGrid>
      <w:tr w14:paraId="65FE7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6F0B86FE">
            <w:pPr>
              <w:spacing w:line="360" w:lineRule="auto"/>
              <w:jc w:val="center"/>
              <w:rPr>
                <w:rFonts w:ascii="宋体" w:hAnsi="宋体"/>
                <w:szCs w:val="21"/>
                <w:lang w:val="zh-TW" w:eastAsia="zh-TW" w:bidi="zh-TW"/>
              </w:rPr>
            </w:pPr>
            <w:r>
              <w:rPr>
                <w:rFonts w:hint="eastAsia" w:ascii="宋体" w:hAnsi="宋体"/>
                <w:color w:val="000000"/>
                <w:szCs w:val="21"/>
                <w:lang w:val="zh-TW" w:eastAsia="zh-TW" w:bidi="zh-TW"/>
              </w:rPr>
              <w:t>序号</w:t>
            </w:r>
          </w:p>
        </w:tc>
        <w:tc>
          <w:tcPr>
            <w:tcW w:w="1328" w:type="dxa"/>
            <w:noWrap/>
            <w:vAlign w:val="center"/>
          </w:tcPr>
          <w:p w14:paraId="7D206278">
            <w:pPr>
              <w:spacing w:line="360" w:lineRule="auto"/>
              <w:jc w:val="center"/>
              <w:rPr>
                <w:rFonts w:ascii="宋体" w:hAnsi="宋体"/>
                <w:szCs w:val="21"/>
                <w:lang w:val="zh-TW" w:eastAsia="zh-TW" w:bidi="zh-TW"/>
              </w:rPr>
            </w:pPr>
            <w:r>
              <w:rPr>
                <w:rFonts w:hint="eastAsia" w:ascii="宋体" w:hAnsi="宋体"/>
                <w:color w:val="000000"/>
                <w:szCs w:val="21"/>
                <w:lang w:val="zh-TW" w:eastAsia="zh-TW" w:bidi="zh-TW"/>
              </w:rPr>
              <w:t>品名</w:t>
            </w:r>
          </w:p>
        </w:tc>
        <w:tc>
          <w:tcPr>
            <w:tcW w:w="752" w:type="dxa"/>
            <w:noWrap/>
            <w:vAlign w:val="center"/>
          </w:tcPr>
          <w:p w14:paraId="69D4D58F">
            <w:pPr>
              <w:spacing w:line="360" w:lineRule="auto"/>
              <w:jc w:val="center"/>
              <w:rPr>
                <w:rFonts w:ascii="宋体" w:hAnsi="宋体"/>
                <w:szCs w:val="21"/>
                <w:lang w:val="zh-TW" w:eastAsia="zh-TW" w:bidi="zh-TW"/>
              </w:rPr>
            </w:pPr>
            <w:r>
              <w:rPr>
                <w:rFonts w:hint="eastAsia" w:ascii="宋体" w:hAnsi="宋体"/>
                <w:color w:val="000000"/>
                <w:szCs w:val="21"/>
                <w:lang w:val="zh-TW" w:eastAsia="zh-TW" w:bidi="zh-TW"/>
              </w:rPr>
              <w:t>规格</w:t>
            </w:r>
          </w:p>
        </w:tc>
        <w:tc>
          <w:tcPr>
            <w:tcW w:w="6235" w:type="dxa"/>
            <w:noWrap/>
            <w:vAlign w:val="center"/>
          </w:tcPr>
          <w:p w14:paraId="60510D73">
            <w:pPr>
              <w:spacing w:line="360" w:lineRule="auto"/>
              <w:jc w:val="center"/>
              <w:rPr>
                <w:rFonts w:ascii="宋体" w:hAnsi="宋体"/>
                <w:color w:val="000000"/>
                <w:szCs w:val="21"/>
                <w:lang w:val="zh-TW" w:eastAsia="zh-TW" w:bidi="zh-TW"/>
              </w:rPr>
            </w:pPr>
            <w:r>
              <w:rPr>
                <w:rFonts w:hint="eastAsia" w:ascii="宋体" w:hAnsi="宋体"/>
                <w:color w:val="000000"/>
                <w:szCs w:val="21"/>
                <w:lang w:val="zh-TW" w:eastAsia="zh-TW" w:bidi="zh-TW"/>
              </w:rPr>
              <w:t>质量要求</w:t>
            </w:r>
          </w:p>
        </w:tc>
      </w:tr>
      <w:tr w14:paraId="051E4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535E95A1">
            <w:pPr>
              <w:spacing w:line="360" w:lineRule="auto"/>
              <w:jc w:val="center"/>
              <w:rPr>
                <w:rFonts w:ascii="宋体" w:hAnsi="宋体"/>
                <w:szCs w:val="21"/>
                <w:lang w:val="zh-TW" w:eastAsia="zh-TW" w:bidi="zh-TW"/>
              </w:rPr>
            </w:pPr>
            <w:r>
              <w:rPr>
                <w:rFonts w:hint="eastAsia" w:ascii="宋体" w:hAnsi="宋体"/>
                <w:color w:val="000000"/>
                <w:szCs w:val="21"/>
                <w:lang w:val="zh-TW" w:eastAsia="zh-TW" w:bidi="zh-TW"/>
              </w:rPr>
              <w:t>1</w:t>
            </w:r>
          </w:p>
        </w:tc>
        <w:tc>
          <w:tcPr>
            <w:tcW w:w="1328" w:type="dxa"/>
            <w:noWrap/>
            <w:vAlign w:val="center"/>
          </w:tcPr>
          <w:p w14:paraId="10106DC2">
            <w:pPr>
              <w:spacing w:line="360" w:lineRule="auto"/>
              <w:jc w:val="center"/>
              <w:rPr>
                <w:rFonts w:ascii="宋体" w:hAnsi="宋体"/>
                <w:szCs w:val="21"/>
                <w:lang w:val="zh-TW" w:eastAsia="zh-TW" w:bidi="zh-TW"/>
              </w:rPr>
            </w:pPr>
            <w:r>
              <w:rPr>
                <w:rFonts w:hint="eastAsia" w:ascii="宋体" w:hAnsi="宋体"/>
                <w:color w:val="000000"/>
                <w:szCs w:val="21"/>
                <w:lang w:val="zh-TW" w:eastAsia="zh-TW" w:bidi="zh-TW"/>
              </w:rPr>
              <w:t>去皮五花肉</w:t>
            </w:r>
          </w:p>
        </w:tc>
        <w:tc>
          <w:tcPr>
            <w:tcW w:w="752" w:type="dxa"/>
            <w:noWrap/>
            <w:vAlign w:val="center"/>
          </w:tcPr>
          <w:p w14:paraId="78D85975">
            <w:pPr>
              <w:spacing w:line="360" w:lineRule="auto"/>
              <w:jc w:val="center"/>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521E9DC8">
            <w:pPr>
              <w:spacing w:line="360" w:lineRule="auto"/>
              <w:rPr>
                <w:rFonts w:ascii="宋体" w:hAnsi="宋体"/>
                <w:szCs w:val="21"/>
                <w:lang w:val="zh-TW" w:bidi="zh-TW"/>
              </w:rPr>
            </w:pPr>
            <w:r>
              <w:rPr>
                <w:rFonts w:hint="eastAsia" w:ascii="宋体" w:hAnsi="宋体"/>
                <w:color w:val="000000"/>
                <w:szCs w:val="21"/>
                <w:lang w:val="zh-TW" w:bidi="zh-TW"/>
              </w:rPr>
              <w:t>肥瘦比例为3:7（三线肉），肉呈均匀的红色，有光泽，肉质紧密富有弹性，有坚实感，用手指按压凹陷后会立即复原；肉的外表及切面微湿润，不粘手，脂肪洁白，肉汁透明。</w:t>
            </w:r>
          </w:p>
        </w:tc>
      </w:tr>
      <w:tr w14:paraId="41649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28C2F4AD">
            <w:pPr>
              <w:spacing w:line="360" w:lineRule="auto"/>
              <w:ind w:firstLine="280"/>
              <w:rPr>
                <w:rFonts w:ascii="宋体" w:hAnsi="宋体"/>
                <w:szCs w:val="21"/>
                <w:lang w:val="zh-TW" w:eastAsia="zh-TW" w:bidi="zh-TW"/>
              </w:rPr>
            </w:pPr>
            <w:r>
              <w:rPr>
                <w:rFonts w:hint="eastAsia" w:ascii="宋体" w:hAnsi="宋体"/>
                <w:color w:val="000000"/>
                <w:szCs w:val="21"/>
                <w:lang w:val="zh-TW" w:eastAsia="zh-TW" w:bidi="zh-TW"/>
              </w:rPr>
              <w:t>2</w:t>
            </w:r>
          </w:p>
        </w:tc>
        <w:tc>
          <w:tcPr>
            <w:tcW w:w="1328" w:type="dxa"/>
            <w:noWrap/>
            <w:vAlign w:val="center"/>
          </w:tcPr>
          <w:p w14:paraId="7394DCBA">
            <w:pPr>
              <w:spacing w:line="360" w:lineRule="auto"/>
              <w:jc w:val="center"/>
              <w:rPr>
                <w:rFonts w:ascii="宋体" w:hAnsi="宋体"/>
                <w:szCs w:val="21"/>
                <w:lang w:val="zh-TW" w:eastAsia="zh-TW" w:bidi="zh-TW"/>
              </w:rPr>
            </w:pPr>
            <w:r>
              <w:rPr>
                <w:rFonts w:hint="eastAsia" w:ascii="宋体" w:hAnsi="宋体"/>
                <w:color w:val="000000"/>
                <w:szCs w:val="21"/>
                <w:lang w:val="zh-TW" w:eastAsia="zh-TW" w:bidi="zh-TW"/>
              </w:rPr>
              <w:t>去皮上肉</w:t>
            </w:r>
          </w:p>
        </w:tc>
        <w:tc>
          <w:tcPr>
            <w:tcW w:w="752" w:type="dxa"/>
            <w:noWrap/>
            <w:vAlign w:val="center"/>
          </w:tcPr>
          <w:p w14:paraId="1AAB1485">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096E33F8">
            <w:pPr>
              <w:spacing w:line="360" w:lineRule="auto"/>
              <w:rPr>
                <w:rFonts w:ascii="宋体" w:hAnsi="宋体"/>
                <w:szCs w:val="21"/>
                <w:lang w:val="zh-TW" w:bidi="zh-TW"/>
              </w:rPr>
            </w:pPr>
            <w:r>
              <w:rPr>
                <w:rFonts w:hint="eastAsia" w:ascii="宋体" w:hAnsi="宋体"/>
                <w:color w:val="000000"/>
                <w:szCs w:val="21"/>
                <w:lang w:val="zh-TW" w:bidi="zh-TW"/>
              </w:rPr>
              <w:t>肉呈均匀的红色，有光泽、肉质紧密，有坚实感；肉的外表及切面微湿润，不粘手，脂肪洁白无霉点。</w:t>
            </w:r>
          </w:p>
        </w:tc>
      </w:tr>
      <w:tr w14:paraId="19527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5F03B6F2">
            <w:pPr>
              <w:spacing w:line="360" w:lineRule="auto"/>
              <w:ind w:firstLine="280"/>
              <w:rPr>
                <w:rFonts w:ascii="宋体" w:hAnsi="宋体"/>
                <w:szCs w:val="21"/>
                <w:lang w:val="zh-TW" w:eastAsia="zh-TW" w:bidi="zh-TW"/>
              </w:rPr>
            </w:pPr>
            <w:r>
              <w:rPr>
                <w:rFonts w:hint="eastAsia" w:ascii="宋体" w:hAnsi="宋体"/>
                <w:color w:val="000000"/>
                <w:szCs w:val="21"/>
                <w:lang w:val="zh-TW" w:eastAsia="zh-TW" w:bidi="zh-TW"/>
              </w:rPr>
              <w:t>3</w:t>
            </w:r>
          </w:p>
        </w:tc>
        <w:tc>
          <w:tcPr>
            <w:tcW w:w="1328" w:type="dxa"/>
            <w:noWrap/>
            <w:vAlign w:val="center"/>
          </w:tcPr>
          <w:p w14:paraId="5B059C7B">
            <w:pPr>
              <w:spacing w:line="360" w:lineRule="auto"/>
              <w:jc w:val="center"/>
              <w:rPr>
                <w:rFonts w:ascii="宋体" w:hAnsi="宋体"/>
                <w:szCs w:val="21"/>
                <w:lang w:val="zh-TW" w:eastAsia="zh-TW" w:bidi="zh-TW"/>
              </w:rPr>
            </w:pPr>
            <w:r>
              <w:rPr>
                <w:rFonts w:hint="eastAsia" w:ascii="宋体" w:hAnsi="宋体"/>
                <w:color w:val="000000"/>
                <w:szCs w:val="21"/>
                <w:lang w:val="zh-TW" w:eastAsia="zh-TW" w:bidi="zh-TW"/>
              </w:rPr>
              <w:t>鲜牛肉</w:t>
            </w:r>
          </w:p>
        </w:tc>
        <w:tc>
          <w:tcPr>
            <w:tcW w:w="752" w:type="dxa"/>
            <w:noWrap/>
            <w:vAlign w:val="center"/>
          </w:tcPr>
          <w:p w14:paraId="11286FCF">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773209F2">
            <w:pPr>
              <w:spacing w:line="360" w:lineRule="auto"/>
              <w:rPr>
                <w:rFonts w:ascii="宋体" w:hAnsi="宋体"/>
                <w:szCs w:val="21"/>
                <w:lang w:val="zh-TW" w:bidi="zh-TW"/>
              </w:rPr>
            </w:pPr>
            <w:r>
              <w:rPr>
                <w:rFonts w:hint="eastAsia" w:ascii="宋体" w:hAnsi="宋体"/>
                <w:color w:val="000000"/>
                <w:szCs w:val="21"/>
                <w:lang w:val="zh-TW" w:bidi="zh-TW"/>
              </w:rPr>
              <w:t>肉呈均匀的红色，有光泽，脂肪呈白色或微黄色，肌肉外表微干或风干膜，或外表湿润，但不粘手，良质牛肉的肌肉结构紧密，有坚实感，用手指按压凹陷后会立即复原，肌纤维韧性强。</w:t>
            </w:r>
          </w:p>
        </w:tc>
      </w:tr>
      <w:tr w14:paraId="4C7A5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02CF7A82">
            <w:pPr>
              <w:spacing w:line="360" w:lineRule="auto"/>
              <w:ind w:firstLine="280"/>
              <w:rPr>
                <w:rFonts w:ascii="宋体" w:hAnsi="宋体"/>
                <w:szCs w:val="21"/>
                <w:lang w:val="zh-TW" w:bidi="zh-TW"/>
              </w:rPr>
            </w:pPr>
            <w:r>
              <w:rPr>
                <w:rFonts w:hint="eastAsia" w:ascii="宋体" w:hAnsi="宋体"/>
                <w:color w:val="000000"/>
                <w:szCs w:val="21"/>
                <w:lang w:val="zh-TW" w:bidi="zh-TW"/>
              </w:rPr>
              <w:t>4</w:t>
            </w:r>
          </w:p>
        </w:tc>
        <w:tc>
          <w:tcPr>
            <w:tcW w:w="1328" w:type="dxa"/>
            <w:noWrap/>
            <w:vAlign w:val="center"/>
          </w:tcPr>
          <w:p w14:paraId="7302B0C3">
            <w:pPr>
              <w:spacing w:line="360" w:lineRule="auto"/>
              <w:jc w:val="center"/>
              <w:rPr>
                <w:rFonts w:ascii="宋体" w:hAnsi="宋体"/>
                <w:szCs w:val="21"/>
                <w:lang w:val="zh-TW" w:eastAsia="zh-TW" w:bidi="zh-TW"/>
              </w:rPr>
            </w:pPr>
            <w:r>
              <w:rPr>
                <w:rFonts w:hint="eastAsia" w:ascii="宋体" w:hAnsi="宋体"/>
                <w:color w:val="000000"/>
                <w:szCs w:val="21"/>
                <w:lang w:val="zh-TW" w:eastAsia="zh-TW" w:bidi="zh-TW"/>
              </w:rPr>
              <w:t>边鸡</w:t>
            </w:r>
          </w:p>
        </w:tc>
        <w:tc>
          <w:tcPr>
            <w:tcW w:w="752" w:type="dxa"/>
            <w:noWrap/>
            <w:vAlign w:val="center"/>
          </w:tcPr>
          <w:p w14:paraId="5A18925C">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1C936F05">
            <w:pPr>
              <w:spacing w:line="360" w:lineRule="auto"/>
              <w:rPr>
                <w:rFonts w:ascii="宋体" w:hAnsi="宋体"/>
                <w:szCs w:val="21"/>
                <w:lang w:val="zh-TW" w:bidi="zh-TW"/>
              </w:rPr>
            </w:pPr>
            <w:r>
              <w:rPr>
                <w:rFonts w:hint="eastAsia" w:ascii="宋体" w:hAnsi="宋体"/>
                <w:color w:val="000000"/>
                <w:szCs w:val="21"/>
                <w:lang w:val="zh-TW" w:bidi="zh-TW"/>
              </w:rPr>
              <w:t>整鸡表皮光滑，新鲜肥嫩，无头，无颈，无内脏，重约</w:t>
            </w:r>
            <w:r>
              <w:rPr>
                <w:rFonts w:hint="eastAsia" w:ascii="宋体" w:hAnsi="宋体"/>
                <w:color w:val="000000"/>
                <w:szCs w:val="21"/>
                <w:lang w:bidi="en-US"/>
              </w:rPr>
              <w:t>0.6-1</w:t>
            </w:r>
            <w:r>
              <w:rPr>
                <w:rFonts w:hint="eastAsia" w:ascii="宋体" w:hAnsi="宋体"/>
                <w:color w:val="000000"/>
                <w:szCs w:val="21"/>
                <w:lang w:val="zh-TW" w:bidi="zh-TW"/>
              </w:rPr>
              <w:t>公斤，鸡肉的眼球饱满或平坦，皮肤有光泽，在品种不同而呈黄、浅黄、淡红、灰白等色，肌肉切面有光泽，外表微湿润，不粘手。解冻指压后的凹陷恢复慢，且不能完全恢复，具有鸡的正常气味。</w:t>
            </w:r>
          </w:p>
        </w:tc>
      </w:tr>
      <w:tr w14:paraId="1E4BC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608BE8FB">
            <w:pPr>
              <w:spacing w:line="360" w:lineRule="auto"/>
              <w:ind w:firstLine="280"/>
              <w:rPr>
                <w:rFonts w:ascii="宋体" w:hAnsi="宋体"/>
                <w:szCs w:val="21"/>
                <w:lang w:val="zh-TW" w:bidi="zh-TW"/>
              </w:rPr>
            </w:pPr>
            <w:r>
              <w:rPr>
                <w:rFonts w:hint="eastAsia" w:ascii="宋体" w:hAnsi="宋体"/>
                <w:color w:val="000000"/>
                <w:szCs w:val="21"/>
                <w:lang w:val="zh-TW" w:bidi="zh-TW"/>
              </w:rPr>
              <w:t>5</w:t>
            </w:r>
          </w:p>
        </w:tc>
        <w:tc>
          <w:tcPr>
            <w:tcW w:w="1328" w:type="dxa"/>
            <w:noWrap/>
            <w:vAlign w:val="center"/>
          </w:tcPr>
          <w:p w14:paraId="0147CE95">
            <w:pPr>
              <w:spacing w:line="360" w:lineRule="auto"/>
              <w:ind w:firstLine="320"/>
              <w:rPr>
                <w:rFonts w:ascii="宋体" w:hAnsi="宋体"/>
                <w:szCs w:val="21"/>
                <w:lang w:val="zh-TW" w:eastAsia="zh-TW" w:bidi="zh-TW"/>
              </w:rPr>
            </w:pPr>
            <w:r>
              <w:rPr>
                <w:rFonts w:hint="eastAsia" w:ascii="宋体" w:hAnsi="宋体"/>
                <w:color w:val="000000"/>
                <w:szCs w:val="21"/>
                <w:lang w:val="zh-TW" w:eastAsia="zh-TW" w:bidi="zh-TW"/>
              </w:rPr>
              <w:t>白条鸡</w:t>
            </w:r>
          </w:p>
        </w:tc>
        <w:tc>
          <w:tcPr>
            <w:tcW w:w="752" w:type="dxa"/>
            <w:noWrap/>
            <w:vAlign w:val="center"/>
          </w:tcPr>
          <w:p w14:paraId="257809C1">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3C5F4838">
            <w:pPr>
              <w:spacing w:line="360" w:lineRule="auto"/>
              <w:rPr>
                <w:rFonts w:ascii="宋体" w:hAnsi="宋体"/>
                <w:szCs w:val="21"/>
                <w:lang w:val="zh-TW" w:bidi="zh-TW"/>
              </w:rPr>
            </w:pPr>
            <w:r>
              <w:rPr>
                <w:rFonts w:hint="eastAsia" w:ascii="宋体" w:hAnsi="宋体"/>
                <w:color w:val="000000"/>
                <w:szCs w:val="21"/>
                <w:lang w:val="zh-TW" w:bidi="zh-TW"/>
              </w:rPr>
              <w:t>整鸡表皮光滑，新鲜肥嫩，有头颈，有腿翅，无内脏，规格从</w:t>
            </w:r>
            <w:r>
              <w:rPr>
                <w:rFonts w:hint="eastAsia" w:ascii="宋体" w:hAnsi="宋体"/>
                <w:color w:val="000000"/>
                <w:szCs w:val="21"/>
                <w:lang w:bidi="en-US"/>
              </w:rPr>
              <w:t>0.6</w:t>
            </w:r>
            <w:r>
              <w:rPr>
                <w:rFonts w:hint="eastAsia" w:ascii="宋体" w:hAnsi="宋体"/>
                <w:color w:val="000000"/>
                <w:szCs w:val="21"/>
                <w:lang w:val="zh-TW" w:bidi="zh-TW"/>
              </w:rPr>
              <w:t>公斤一1.5公斤，鸡肉的眼球饱满或平坦，皮肤有光泽，在品种不同而呈黄、浅黄、淡红、灰白等色，肌肉切面有光泽，外表微湿润，不粘手，解冻指压后的凹陷恢复慢。</w:t>
            </w:r>
          </w:p>
        </w:tc>
      </w:tr>
      <w:tr w14:paraId="409A3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bottom"/>
          </w:tcPr>
          <w:p w14:paraId="272E83E5">
            <w:pPr>
              <w:spacing w:line="360" w:lineRule="auto"/>
              <w:ind w:firstLine="280"/>
              <w:rPr>
                <w:rFonts w:ascii="宋体" w:hAnsi="宋体"/>
                <w:szCs w:val="21"/>
                <w:lang w:val="zh-TW" w:bidi="zh-TW"/>
              </w:rPr>
            </w:pPr>
            <w:r>
              <w:rPr>
                <w:rFonts w:hint="eastAsia" w:ascii="宋体" w:hAnsi="宋体"/>
                <w:color w:val="000000"/>
                <w:szCs w:val="21"/>
                <w:lang w:val="zh-TW" w:bidi="zh-TW"/>
              </w:rPr>
              <w:t>6</w:t>
            </w:r>
          </w:p>
        </w:tc>
        <w:tc>
          <w:tcPr>
            <w:tcW w:w="1328" w:type="dxa"/>
            <w:noWrap/>
            <w:vAlign w:val="bottom"/>
          </w:tcPr>
          <w:p w14:paraId="3820DC2F">
            <w:pPr>
              <w:spacing w:line="360" w:lineRule="auto"/>
              <w:ind w:firstLine="320"/>
              <w:rPr>
                <w:rFonts w:ascii="宋体" w:hAnsi="宋体"/>
                <w:szCs w:val="21"/>
                <w:lang w:val="zh-TW" w:eastAsia="zh-TW" w:bidi="zh-TW"/>
              </w:rPr>
            </w:pPr>
            <w:r>
              <w:rPr>
                <w:rFonts w:hint="eastAsia" w:ascii="宋体" w:hAnsi="宋体"/>
                <w:color w:val="000000"/>
                <w:szCs w:val="21"/>
                <w:lang w:val="zh-TW" w:eastAsia="zh-TW" w:bidi="zh-TW"/>
              </w:rPr>
              <w:t>冻鸡腿</w:t>
            </w:r>
          </w:p>
        </w:tc>
        <w:tc>
          <w:tcPr>
            <w:tcW w:w="752" w:type="dxa"/>
            <w:noWrap/>
            <w:vAlign w:val="bottom"/>
          </w:tcPr>
          <w:p w14:paraId="1535D77D">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2F470D67">
            <w:pPr>
              <w:spacing w:line="360" w:lineRule="auto"/>
              <w:rPr>
                <w:rFonts w:ascii="宋体" w:hAnsi="宋体"/>
                <w:szCs w:val="21"/>
                <w:lang w:val="zh-TW" w:bidi="zh-TW"/>
              </w:rPr>
            </w:pPr>
            <w:r>
              <w:rPr>
                <w:rFonts w:hint="eastAsia" w:ascii="宋体" w:hAnsi="宋体"/>
                <w:color w:val="000000"/>
                <w:szCs w:val="21"/>
                <w:lang w:val="zh-TW" w:bidi="zh-TW"/>
              </w:rPr>
              <w:t>交货以干净、色泽均匀、无异味，大小适合规格要求为标准。</w:t>
            </w:r>
          </w:p>
        </w:tc>
      </w:tr>
      <w:tr w14:paraId="2C5EA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bottom"/>
          </w:tcPr>
          <w:p w14:paraId="22F2C477">
            <w:pPr>
              <w:spacing w:line="360" w:lineRule="auto"/>
              <w:ind w:firstLine="280"/>
              <w:rPr>
                <w:rFonts w:ascii="宋体" w:hAnsi="宋体"/>
                <w:szCs w:val="21"/>
                <w:lang w:val="zh-TW" w:bidi="zh-TW"/>
              </w:rPr>
            </w:pPr>
            <w:r>
              <w:rPr>
                <w:rFonts w:hint="eastAsia" w:ascii="宋体" w:hAnsi="宋体"/>
                <w:color w:val="000000"/>
                <w:szCs w:val="21"/>
                <w:lang w:val="zh-TW" w:bidi="zh-TW"/>
              </w:rPr>
              <w:t>7</w:t>
            </w:r>
          </w:p>
        </w:tc>
        <w:tc>
          <w:tcPr>
            <w:tcW w:w="1328" w:type="dxa"/>
            <w:noWrap/>
            <w:vAlign w:val="bottom"/>
          </w:tcPr>
          <w:p w14:paraId="2860AA43">
            <w:pPr>
              <w:spacing w:line="360" w:lineRule="auto"/>
              <w:ind w:firstLine="320"/>
              <w:rPr>
                <w:rFonts w:ascii="宋体" w:hAnsi="宋体"/>
                <w:szCs w:val="21"/>
                <w:lang w:val="zh-TW" w:eastAsia="zh-TW" w:bidi="zh-TW"/>
              </w:rPr>
            </w:pPr>
            <w:r>
              <w:rPr>
                <w:rFonts w:hint="eastAsia" w:ascii="宋体" w:hAnsi="宋体"/>
                <w:color w:val="000000"/>
                <w:szCs w:val="21"/>
                <w:lang w:val="zh-TW" w:eastAsia="zh-TW" w:bidi="zh-TW"/>
              </w:rPr>
              <w:t>冻鸡尖</w:t>
            </w:r>
          </w:p>
        </w:tc>
        <w:tc>
          <w:tcPr>
            <w:tcW w:w="752" w:type="dxa"/>
            <w:noWrap/>
            <w:vAlign w:val="bottom"/>
          </w:tcPr>
          <w:p w14:paraId="57C10A4E">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41B612DB">
            <w:pPr>
              <w:spacing w:line="360" w:lineRule="auto"/>
              <w:rPr>
                <w:rFonts w:ascii="宋体" w:hAnsi="宋体"/>
                <w:szCs w:val="21"/>
                <w:lang w:val="zh-TW" w:bidi="zh-TW"/>
              </w:rPr>
            </w:pPr>
            <w:r>
              <w:rPr>
                <w:rFonts w:hint="eastAsia" w:ascii="宋体" w:hAnsi="宋体"/>
                <w:color w:val="000000"/>
                <w:szCs w:val="21"/>
                <w:lang w:val="zh-TW" w:bidi="zh-TW"/>
              </w:rPr>
              <w:t>交货以干净、色泽均匀、无异味，大小适合规格要求为标准。</w:t>
            </w:r>
          </w:p>
        </w:tc>
      </w:tr>
      <w:tr w14:paraId="08E77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252A1ACF">
            <w:pPr>
              <w:spacing w:line="360" w:lineRule="auto"/>
              <w:ind w:firstLine="280"/>
              <w:rPr>
                <w:rFonts w:ascii="宋体" w:hAnsi="宋体"/>
                <w:szCs w:val="21"/>
                <w:lang w:val="zh-TW" w:bidi="zh-TW"/>
              </w:rPr>
            </w:pPr>
            <w:r>
              <w:rPr>
                <w:rFonts w:hint="eastAsia" w:ascii="宋体" w:hAnsi="宋体"/>
                <w:color w:val="000000"/>
                <w:szCs w:val="21"/>
                <w:lang w:val="zh-TW" w:bidi="zh-TW"/>
              </w:rPr>
              <w:t>8</w:t>
            </w:r>
          </w:p>
        </w:tc>
        <w:tc>
          <w:tcPr>
            <w:tcW w:w="1328" w:type="dxa"/>
            <w:noWrap/>
            <w:vAlign w:val="center"/>
          </w:tcPr>
          <w:p w14:paraId="5E6F137F">
            <w:pPr>
              <w:spacing w:line="360" w:lineRule="auto"/>
              <w:ind w:firstLine="420"/>
              <w:rPr>
                <w:rFonts w:ascii="宋体" w:hAnsi="宋体"/>
                <w:szCs w:val="21"/>
                <w:lang w:val="zh-TW" w:eastAsia="zh-TW" w:bidi="zh-TW"/>
              </w:rPr>
            </w:pPr>
            <w:r>
              <w:rPr>
                <w:rFonts w:hint="eastAsia" w:ascii="宋体" w:hAnsi="宋体"/>
                <w:color w:val="000000"/>
                <w:szCs w:val="21"/>
                <w:lang w:val="zh-TW" w:eastAsia="zh-TW" w:bidi="zh-TW"/>
              </w:rPr>
              <w:t>边鸭</w:t>
            </w:r>
          </w:p>
        </w:tc>
        <w:tc>
          <w:tcPr>
            <w:tcW w:w="752" w:type="dxa"/>
            <w:noWrap/>
            <w:vAlign w:val="center"/>
          </w:tcPr>
          <w:p w14:paraId="3CE14C8D">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550FE16F">
            <w:pPr>
              <w:spacing w:line="360" w:lineRule="auto"/>
              <w:rPr>
                <w:rFonts w:ascii="宋体" w:hAnsi="宋体"/>
                <w:szCs w:val="21"/>
                <w:lang w:val="zh-TW" w:bidi="zh-TW"/>
              </w:rPr>
            </w:pPr>
            <w:r>
              <w:rPr>
                <w:rFonts w:hint="eastAsia" w:ascii="宋体" w:hAnsi="宋体"/>
                <w:color w:val="000000"/>
                <w:szCs w:val="21"/>
                <w:lang w:val="zh-TW" w:bidi="zh-TW"/>
              </w:rPr>
              <w:t>表皮光滑，新鲜肥嫩，无头，无颈，无内脏，重约</w:t>
            </w:r>
            <w:r>
              <w:rPr>
                <w:rFonts w:hint="eastAsia" w:ascii="宋体" w:hAnsi="宋体"/>
                <w:color w:val="000000"/>
                <w:szCs w:val="21"/>
                <w:lang w:bidi="en-US"/>
              </w:rPr>
              <w:t>0.6</w:t>
            </w:r>
            <w:r>
              <w:rPr>
                <w:rFonts w:hint="eastAsia" w:ascii="宋体" w:hAnsi="宋体"/>
                <w:color w:val="000000"/>
                <w:szCs w:val="21"/>
                <w:lang w:val="zh-TW" w:bidi="zh-TW"/>
              </w:rPr>
              <w:t>-1公斤，外表微湿润，不粘手，解冻指压后的凹陷恢复慢，且不能完全恢复，具有鸭的正常气味。</w:t>
            </w:r>
          </w:p>
        </w:tc>
      </w:tr>
      <w:tr w14:paraId="39C53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5ACF5751">
            <w:pPr>
              <w:spacing w:line="360" w:lineRule="auto"/>
              <w:ind w:firstLine="280"/>
              <w:rPr>
                <w:rFonts w:ascii="宋体" w:hAnsi="宋体"/>
                <w:szCs w:val="21"/>
                <w:lang w:val="zh-TW" w:bidi="zh-TW"/>
              </w:rPr>
            </w:pPr>
            <w:r>
              <w:rPr>
                <w:rFonts w:hint="eastAsia" w:ascii="宋体" w:hAnsi="宋体"/>
                <w:color w:val="000000"/>
                <w:szCs w:val="21"/>
                <w:lang w:val="zh-TW" w:bidi="zh-TW"/>
              </w:rPr>
              <w:t>9</w:t>
            </w:r>
          </w:p>
        </w:tc>
        <w:tc>
          <w:tcPr>
            <w:tcW w:w="1328" w:type="dxa"/>
            <w:noWrap/>
            <w:vAlign w:val="center"/>
          </w:tcPr>
          <w:p w14:paraId="377227C5">
            <w:pPr>
              <w:spacing w:line="360" w:lineRule="auto"/>
              <w:jc w:val="center"/>
              <w:rPr>
                <w:rFonts w:ascii="宋体" w:hAnsi="宋体"/>
                <w:szCs w:val="21"/>
                <w:lang w:val="zh-TW" w:eastAsia="zh-TW" w:bidi="zh-TW"/>
              </w:rPr>
            </w:pPr>
            <w:r>
              <w:rPr>
                <w:rFonts w:hint="eastAsia" w:ascii="宋体" w:hAnsi="宋体"/>
                <w:color w:val="000000"/>
                <w:szCs w:val="21"/>
                <w:lang w:val="zh-TW" w:eastAsia="zh-TW" w:bidi="zh-TW"/>
              </w:rPr>
              <w:t>白条鸭</w:t>
            </w:r>
          </w:p>
        </w:tc>
        <w:tc>
          <w:tcPr>
            <w:tcW w:w="752" w:type="dxa"/>
            <w:noWrap/>
            <w:vAlign w:val="center"/>
          </w:tcPr>
          <w:p w14:paraId="2EBE715F">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258838A8">
            <w:pPr>
              <w:spacing w:line="360" w:lineRule="auto"/>
              <w:rPr>
                <w:rFonts w:ascii="宋体" w:hAnsi="宋体"/>
                <w:szCs w:val="21"/>
                <w:lang w:val="zh-TW" w:bidi="zh-TW"/>
              </w:rPr>
            </w:pPr>
            <w:r>
              <w:rPr>
                <w:rFonts w:hint="eastAsia" w:ascii="宋体" w:hAnsi="宋体"/>
                <w:color w:val="000000"/>
                <w:szCs w:val="21"/>
                <w:lang w:val="zh-TW" w:bidi="zh-TW"/>
              </w:rPr>
              <w:t>表皮光滑，新鲜肥嫩，无内脏，每只不低于1公斤，鸭的眼球饱满或平坦，皮肤有光泽，在品种不同而呈黄、浅黄、淡红、灰白等色，肌肉切面有光泽，外表微湿润，不粘手，解冻指压后的凹陷恢复慢，且不能完全恢复，具有鸭的正常气味。</w:t>
            </w:r>
          </w:p>
        </w:tc>
      </w:tr>
      <w:tr w14:paraId="0F983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02DF5019">
            <w:pPr>
              <w:spacing w:line="360" w:lineRule="auto"/>
              <w:ind w:firstLine="280"/>
              <w:rPr>
                <w:rFonts w:ascii="宋体" w:hAnsi="宋体"/>
                <w:szCs w:val="21"/>
                <w:lang w:val="zh-TW" w:bidi="zh-TW"/>
              </w:rPr>
            </w:pPr>
            <w:r>
              <w:rPr>
                <w:rFonts w:hint="eastAsia" w:ascii="宋体" w:hAnsi="宋体"/>
                <w:color w:val="000000"/>
                <w:szCs w:val="21"/>
                <w:lang w:val="zh-TW" w:bidi="zh-TW"/>
              </w:rPr>
              <w:t>10</w:t>
            </w:r>
          </w:p>
        </w:tc>
        <w:tc>
          <w:tcPr>
            <w:tcW w:w="1328" w:type="dxa"/>
            <w:noWrap/>
            <w:vAlign w:val="center"/>
          </w:tcPr>
          <w:p w14:paraId="771D8680">
            <w:pPr>
              <w:spacing w:line="360" w:lineRule="auto"/>
              <w:ind w:firstLine="320"/>
              <w:rPr>
                <w:rFonts w:ascii="宋体" w:hAnsi="宋体"/>
                <w:szCs w:val="21"/>
                <w:lang w:val="zh-TW" w:eastAsia="zh-TW" w:bidi="zh-TW"/>
              </w:rPr>
            </w:pPr>
            <w:r>
              <w:rPr>
                <w:rFonts w:hint="eastAsia" w:ascii="宋体" w:hAnsi="宋体"/>
                <w:color w:val="000000"/>
                <w:szCs w:val="21"/>
                <w:lang w:val="zh-TW" w:eastAsia="zh-TW" w:bidi="zh-TW"/>
              </w:rPr>
              <w:t>牛肉丸</w:t>
            </w:r>
          </w:p>
        </w:tc>
        <w:tc>
          <w:tcPr>
            <w:tcW w:w="752" w:type="dxa"/>
            <w:noWrap/>
            <w:vAlign w:val="center"/>
          </w:tcPr>
          <w:p w14:paraId="4BCB781F">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023A98F2">
            <w:pPr>
              <w:spacing w:line="360" w:lineRule="auto"/>
              <w:rPr>
                <w:rFonts w:ascii="宋体" w:hAnsi="宋体"/>
                <w:szCs w:val="21"/>
                <w:lang w:val="zh-TW" w:bidi="zh-TW"/>
              </w:rPr>
            </w:pPr>
            <w:r>
              <w:rPr>
                <w:rFonts w:hint="eastAsia" w:ascii="宋体" w:hAnsi="宋体"/>
                <w:color w:val="000000"/>
                <w:szCs w:val="21"/>
                <w:lang w:val="zh-TW" w:bidi="zh-TW"/>
              </w:rPr>
              <w:t>具有良好的弹性，水煮后用手捏应不轻易破裂,且手松开后能恢复。切开丸体其剖面应比较平整，不能有明显的冰晶状物。</w:t>
            </w:r>
          </w:p>
        </w:tc>
      </w:tr>
      <w:tr w14:paraId="26C48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4DAD9D17">
            <w:pPr>
              <w:spacing w:line="360" w:lineRule="auto"/>
              <w:ind w:firstLine="280"/>
              <w:rPr>
                <w:rFonts w:ascii="宋体" w:hAnsi="宋体"/>
                <w:szCs w:val="21"/>
                <w:lang w:val="zh-TW" w:bidi="zh-TW"/>
              </w:rPr>
            </w:pPr>
            <w:r>
              <w:rPr>
                <w:rFonts w:hint="eastAsia" w:ascii="宋体" w:hAnsi="宋体"/>
                <w:color w:val="000000"/>
                <w:szCs w:val="21"/>
                <w:lang w:val="zh-TW" w:bidi="zh-TW"/>
              </w:rPr>
              <w:t>11</w:t>
            </w:r>
          </w:p>
        </w:tc>
        <w:tc>
          <w:tcPr>
            <w:tcW w:w="1328" w:type="dxa"/>
            <w:noWrap/>
            <w:vAlign w:val="center"/>
          </w:tcPr>
          <w:p w14:paraId="706F92D1">
            <w:pPr>
              <w:spacing w:line="360" w:lineRule="auto"/>
              <w:ind w:firstLine="320"/>
              <w:rPr>
                <w:rFonts w:ascii="宋体" w:hAnsi="宋体"/>
                <w:szCs w:val="21"/>
                <w:lang w:val="zh-TW" w:eastAsia="zh-TW" w:bidi="zh-TW"/>
              </w:rPr>
            </w:pPr>
            <w:r>
              <w:rPr>
                <w:rFonts w:hint="eastAsia" w:ascii="宋体" w:hAnsi="宋体"/>
                <w:color w:val="000000"/>
                <w:szCs w:val="21"/>
                <w:lang w:val="zh-TW" w:eastAsia="zh-TW" w:bidi="zh-TW"/>
              </w:rPr>
              <w:t>猪肉丸</w:t>
            </w:r>
          </w:p>
        </w:tc>
        <w:tc>
          <w:tcPr>
            <w:tcW w:w="752" w:type="dxa"/>
            <w:noWrap/>
            <w:vAlign w:val="center"/>
          </w:tcPr>
          <w:p w14:paraId="771731EF">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38457CE4">
            <w:pPr>
              <w:spacing w:line="360" w:lineRule="auto"/>
              <w:rPr>
                <w:rFonts w:ascii="宋体" w:hAnsi="宋体"/>
                <w:szCs w:val="21"/>
                <w:lang w:val="zh-TW" w:bidi="zh-TW"/>
              </w:rPr>
            </w:pPr>
            <w:r>
              <w:rPr>
                <w:rFonts w:hint="eastAsia" w:ascii="宋体" w:hAnsi="宋体"/>
                <w:color w:val="000000"/>
                <w:szCs w:val="21"/>
                <w:lang w:val="zh-TW" w:bidi="zh-TW"/>
              </w:rPr>
              <w:t>具有良好的弹性，水煮后用手捏应不轻易破裂,且手松开后能恢复。切开丸体其剖面应比较平整，不能有明显的冰晶状物。</w:t>
            </w:r>
          </w:p>
        </w:tc>
      </w:tr>
      <w:tr w14:paraId="7C55A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0B239B1F">
            <w:pPr>
              <w:spacing w:line="360" w:lineRule="auto"/>
              <w:jc w:val="center"/>
              <w:rPr>
                <w:rFonts w:ascii="宋体" w:hAnsi="宋体"/>
                <w:szCs w:val="21"/>
                <w:lang w:val="zh-TW" w:bidi="zh-TW"/>
              </w:rPr>
            </w:pPr>
            <w:r>
              <w:rPr>
                <w:rFonts w:hint="eastAsia" w:ascii="宋体" w:hAnsi="宋体"/>
                <w:color w:val="000000"/>
                <w:szCs w:val="21"/>
                <w:lang w:val="zh-TW" w:bidi="zh-TW"/>
              </w:rPr>
              <w:t>12</w:t>
            </w:r>
          </w:p>
        </w:tc>
        <w:tc>
          <w:tcPr>
            <w:tcW w:w="1328" w:type="dxa"/>
            <w:noWrap/>
            <w:vAlign w:val="center"/>
          </w:tcPr>
          <w:p w14:paraId="753EBEBE">
            <w:pPr>
              <w:spacing w:line="360" w:lineRule="auto"/>
              <w:jc w:val="center"/>
              <w:rPr>
                <w:rFonts w:ascii="宋体" w:hAnsi="宋体"/>
                <w:szCs w:val="21"/>
                <w:lang w:val="zh-TW" w:eastAsia="zh-TW" w:bidi="zh-TW"/>
              </w:rPr>
            </w:pPr>
            <w:r>
              <w:rPr>
                <w:rFonts w:hint="eastAsia" w:ascii="宋体" w:hAnsi="宋体"/>
                <w:color w:val="000000"/>
                <w:szCs w:val="21"/>
                <w:lang w:val="zh-TW" w:eastAsia="zh-TW" w:bidi="zh-TW"/>
              </w:rPr>
              <w:t>鱼丸</w:t>
            </w:r>
          </w:p>
        </w:tc>
        <w:tc>
          <w:tcPr>
            <w:tcW w:w="752" w:type="dxa"/>
            <w:noWrap/>
            <w:vAlign w:val="center"/>
          </w:tcPr>
          <w:p w14:paraId="6287E731">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6943C6A5">
            <w:pPr>
              <w:spacing w:line="360" w:lineRule="auto"/>
              <w:rPr>
                <w:rFonts w:ascii="宋体" w:hAnsi="宋体"/>
                <w:szCs w:val="21"/>
                <w:lang w:val="zh-TW" w:bidi="zh-TW"/>
              </w:rPr>
            </w:pPr>
            <w:r>
              <w:rPr>
                <w:rFonts w:hint="eastAsia" w:ascii="宋体" w:hAnsi="宋体"/>
                <w:color w:val="000000"/>
                <w:szCs w:val="21"/>
                <w:lang w:val="zh-TW" w:bidi="zh-TW"/>
              </w:rPr>
              <w:t>具有良好的弹性，水煮后用水捏应不轻易破裂,且手松开后能恢复。切开丸体其剖面应比较完整，不能有明显的冰晶状物。</w:t>
            </w:r>
          </w:p>
        </w:tc>
      </w:tr>
      <w:tr w14:paraId="7A1CB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47311DAF">
            <w:pPr>
              <w:spacing w:line="360" w:lineRule="auto"/>
              <w:ind w:firstLine="280"/>
              <w:rPr>
                <w:rFonts w:ascii="宋体" w:hAnsi="宋体"/>
                <w:szCs w:val="21"/>
                <w:lang w:val="zh-TW" w:bidi="zh-TW"/>
              </w:rPr>
            </w:pPr>
            <w:r>
              <w:rPr>
                <w:rFonts w:hint="eastAsia" w:ascii="宋体" w:hAnsi="宋体"/>
                <w:color w:val="000000"/>
                <w:szCs w:val="21"/>
                <w:lang w:val="zh-TW" w:bidi="zh-TW"/>
              </w:rPr>
              <w:t>13</w:t>
            </w:r>
          </w:p>
        </w:tc>
        <w:tc>
          <w:tcPr>
            <w:tcW w:w="1328" w:type="dxa"/>
            <w:noWrap/>
            <w:vAlign w:val="center"/>
          </w:tcPr>
          <w:p w14:paraId="437F9821">
            <w:pPr>
              <w:spacing w:line="360" w:lineRule="auto"/>
              <w:ind w:firstLine="320"/>
              <w:rPr>
                <w:rFonts w:ascii="宋体" w:hAnsi="宋体"/>
                <w:szCs w:val="21"/>
                <w:lang w:val="zh-TW" w:eastAsia="zh-TW" w:bidi="zh-TW"/>
              </w:rPr>
            </w:pPr>
            <w:r>
              <w:rPr>
                <w:rFonts w:hint="eastAsia" w:ascii="宋体" w:hAnsi="宋体"/>
                <w:color w:val="000000"/>
                <w:szCs w:val="21"/>
                <w:lang w:val="zh-TW" w:eastAsia="zh-TW" w:bidi="zh-TW"/>
              </w:rPr>
              <w:t>方火腿</w:t>
            </w:r>
          </w:p>
        </w:tc>
        <w:tc>
          <w:tcPr>
            <w:tcW w:w="752" w:type="dxa"/>
            <w:noWrap/>
            <w:vAlign w:val="center"/>
          </w:tcPr>
          <w:p w14:paraId="407047B4">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1DECFF8B">
            <w:pPr>
              <w:spacing w:line="360" w:lineRule="auto"/>
              <w:rPr>
                <w:rFonts w:ascii="宋体" w:hAnsi="宋体"/>
                <w:szCs w:val="21"/>
                <w:lang w:val="zh-TW" w:bidi="zh-TW"/>
              </w:rPr>
            </w:pPr>
            <w:r>
              <w:rPr>
                <w:rFonts w:hint="eastAsia" w:ascii="宋体" w:hAnsi="宋体"/>
                <w:color w:val="000000"/>
                <w:szCs w:val="21"/>
                <w:lang w:val="zh-TW" w:bidi="zh-TW"/>
              </w:rPr>
              <w:t>表皮应干燥、皮质坚硬，火腿肌肉应是紧密且富有弹性，切面为深红色、色泽均匀；无酸败味或其它异味。</w:t>
            </w:r>
          </w:p>
        </w:tc>
      </w:tr>
      <w:tr w14:paraId="3E76F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noWrap/>
            <w:vAlign w:val="center"/>
          </w:tcPr>
          <w:p w14:paraId="09711E83">
            <w:pPr>
              <w:spacing w:line="360" w:lineRule="auto"/>
              <w:ind w:firstLine="280"/>
              <w:rPr>
                <w:rFonts w:ascii="宋体" w:hAnsi="宋体"/>
                <w:szCs w:val="21"/>
                <w:lang w:val="zh-TW" w:bidi="zh-TW"/>
              </w:rPr>
            </w:pPr>
            <w:r>
              <w:rPr>
                <w:rFonts w:hint="eastAsia" w:ascii="宋体" w:hAnsi="宋体"/>
                <w:color w:val="000000"/>
                <w:szCs w:val="21"/>
                <w:lang w:val="zh-TW" w:bidi="zh-TW"/>
              </w:rPr>
              <w:t>14</w:t>
            </w:r>
          </w:p>
        </w:tc>
        <w:tc>
          <w:tcPr>
            <w:tcW w:w="1328" w:type="dxa"/>
            <w:noWrap/>
            <w:vAlign w:val="center"/>
          </w:tcPr>
          <w:p w14:paraId="42DF0582">
            <w:pPr>
              <w:spacing w:line="360" w:lineRule="auto"/>
              <w:ind w:firstLine="320"/>
              <w:rPr>
                <w:rFonts w:ascii="宋体" w:hAnsi="宋体"/>
                <w:szCs w:val="21"/>
                <w:lang w:val="zh-TW" w:eastAsia="zh-TW" w:bidi="zh-TW"/>
              </w:rPr>
            </w:pPr>
            <w:r>
              <w:rPr>
                <w:rFonts w:hint="eastAsia" w:ascii="宋体" w:hAnsi="宋体"/>
                <w:color w:val="000000"/>
                <w:szCs w:val="21"/>
                <w:lang w:val="zh-TW" w:eastAsia="zh-TW" w:bidi="zh-TW"/>
              </w:rPr>
              <w:t>猪脚粒</w:t>
            </w:r>
          </w:p>
        </w:tc>
        <w:tc>
          <w:tcPr>
            <w:tcW w:w="752" w:type="dxa"/>
            <w:noWrap/>
            <w:vAlign w:val="center"/>
          </w:tcPr>
          <w:p w14:paraId="66F66EB6">
            <w:pPr>
              <w:spacing w:line="360" w:lineRule="auto"/>
              <w:ind w:firstLine="240"/>
              <w:rPr>
                <w:rFonts w:ascii="宋体" w:hAnsi="宋体"/>
                <w:szCs w:val="21"/>
                <w:lang w:val="zh-TW" w:eastAsia="zh-TW" w:bidi="zh-TW"/>
              </w:rPr>
            </w:pPr>
            <w:r>
              <w:rPr>
                <w:rFonts w:hint="eastAsia" w:ascii="宋体" w:hAnsi="宋体"/>
                <w:color w:val="000000"/>
                <w:szCs w:val="21"/>
                <w:lang w:val="zh-TW" w:eastAsia="zh-TW" w:bidi="zh-TW"/>
              </w:rPr>
              <w:t>斤</w:t>
            </w:r>
          </w:p>
        </w:tc>
        <w:tc>
          <w:tcPr>
            <w:tcW w:w="6235" w:type="dxa"/>
            <w:noWrap/>
            <w:vAlign w:val="bottom"/>
          </w:tcPr>
          <w:p w14:paraId="4DDD5F71">
            <w:pPr>
              <w:spacing w:line="360" w:lineRule="auto"/>
              <w:rPr>
                <w:rFonts w:ascii="宋体" w:hAnsi="宋体"/>
                <w:szCs w:val="21"/>
                <w:lang w:val="zh-TW" w:bidi="zh-TW"/>
              </w:rPr>
            </w:pPr>
            <w:r>
              <w:rPr>
                <w:rFonts w:hint="eastAsia" w:ascii="宋体" w:hAnsi="宋体"/>
                <w:color w:val="000000"/>
                <w:szCs w:val="21"/>
                <w:lang w:val="zh-TW" w:bidi="zh-TW"/>
              </w:rPr>
              <w:t>必须去除一切毛污物，无异味，交货以干净、新鲜、大小适合规格要求为标准。</w:t>
            </w:r>
          </w:p>
        </w:tc>
      </w:tr>
      <w:tr w14:paraId="5EF38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9078" w:type="dxa"/>
            <w:gridSpan w:val="4"/>
            <w:noWrap/>
            <w:vAlign w:val="bottom"/>
          </w:tcPr>
          <w:p w14:paraId="5E4098E1">
            <w:pPr>
              <w:spacing w:line="360" w:lineRule="auto"/>
              <w:rPr>
                <w:rFonts w:ascii="宋体" w:hAnsi="宋体"/>
                <w:szCs w:val="21"/>
                <w:lang w:val="zh-TW" w:bidi="zh-TW"/>
              </w:rPr>
            </w:pPr>
            <w:r>
              <w:rPr>
                <w:rFonts w:hint="eastAsia" w:ascii="宋体" w:hAnsi="宋体"/>
                <w:color w:val="000000"/>
                <w:szCs w:val="21"/>
                <w:lang w:val="zh-TW" w:bidi="zh-TW"/>
              </w:rPr>
              <w:t>备注：表中未列明的项目，如</w:t>
            </w:r>
            <w:r>
              <w:rPr>
                <w:rFonts w:hint="eastAsia" w:ascii="宋体" w:hAnsi="宋体"/>
                <w:color w:val="000000"/>
                <w:szCs w:val="21"/>
                <w:lang w:bidi="zh-TW"/>
              </w:rPr>
              <w:t>采购人</w:t>
            </w:r>
            <w:r>
              <w:rPr>
                <w:rFonts w:hint="eastAsia" w:ascii="宋体" w:hAnsi="宋体"/>
                <w:color w:val="000000"/>
                <w:szCs w:val="21"/>
                <w:lang w:val="zh-TW" w:bidi="zh-TW"/>
              </w:rPr>
              <w:t>需要，经双方协商后由</w:t>
            </w:r>
            <w:r>
              <w:rPr>
                <w:rFonts w:hint="eastAsia" w:ascii="宋体" w:hAnsi="宋体"/>
                <w:color w:val="000000"/>
                <w:szCs w:val="21"/>
                <w:lang w:bidi="zh-TW"/>
              </w:rPr>
              <w:t>供应商</w:t>
            </w:r>
            <w:r>
              <w:rPr>
                <w:rFonts w:hint="eastAsia" w:ascii="宋体" w:hAnsi="宋体"/>
                <w:color w:val="000000"/>
                <w:szCs w:val="21"/>
                <w:lang w:val="zh-TW" w:bidi="zh-TW"/>
              </w:rPr>
              <w:t>供给。</w:t>
            </w:r>
          </w:p>
        </w:tc>
      </w:tr>
    </w:tbl>
    <w:p w14:paraId="0B689FE3">
      <w:pPr>
        <w:spacing w:line="360" w:lineRule="auto"/>
        <w:ind w:firstLine="422" w:firstLineChars="200"/>
        <w:rPr>
          <w:rFonts w:ascii="宋体" w:hAnsi="宋体"/>
          <w:b/>
          <w:bCs/>
          <w:szCs w:val="21"/>
        </w:rPr>
      </w:pPr>
      <w:r>
        <w:rPr>
          <w:rFonts w:hint="eastAsia" w:ascii="宋体" w:hAnsi="宋体"/>
          <w:b/>
          <w:bCs/>
          <w:szCs w:val="21"/>
        </w:rPr>
        <w:t>2.蔬菜类要求：</w:t>
      </w:r>
    </w:p>
    <w:p w14:paraId="2CB8D793">
      <w:pPr>
        <w:spacing w:line="360" w:lineRule="auto"/>
        <w:ind w:firstLine="420" w:firstLineChars="200"/>
        <w:rPr>
          <w:rFonts w:ascii="宋体" w:hAnsi="宋体"/>
          <w:szCs w:val="21"/>
        </w:rPr>
      </w:pPr>
      <w:r>
        <w:rPr>
          <w:rFonts w:hint="eastAsia" w:ascii="宋体" w:hAnsi="宋体"/>
          <w:szCs w:val="21"/>
        </w:rPr>
        <w:t>供应商每天的供应按采购人提出的品种要求和计划数量进行供应。</w:t>
      </w:r>
    </w:p>
    <w:p w14:paraId="3A967CD4">
      <w:pPr>
        <w:spacing w:line="360" w:lineRule="auto"/>
        <w:ind w:firstLine="420" w:firstLineChars="200"/>
        <w:rPr>
          <w:rFonts w:ascii="宋体" w:hAnsi="宋体"/>
          <w:szCs w:val="21"/>
        </w:rPr>
      </w:pPr>
      <w:r>
        <w:rPr>
          <w:rFonts w:hint="eastAsia" w:ascii="宋体" w:hAnsi="宋体"/>
          <w:szCs w:val="21"/>
        </w:rPr>
        <w:t>属季节问题，若出现品种不能满足采购人需求的情况，可与采购人协商调换相应类别的品种（按叶菜、瓜菜等进行分类）。</w:t>
      </w:r>
    </w:p>
    <w:p w14:paraId="0097F444">
      <w:pPr>
        <w:spacing w:line="360" w:lineRule="auto"/>
        <w:ind w:firstLine="420" w:firstLineChars="200"/>
        <w:rPr>
          <w:rFonts w:ascii="宋体" w:hAnsi="宋体"/>
          <w:szCs w:val="21"/>
        </w:rPr>
      </w:pPr>
      <w:r>
        <w:rPr>
          <w:rFonts w:hint="eastAsia" w:ascii="宋体" w:hAnsi="宋体"/>
          <w:szCs w:val="21"/>
        </w:rPr>
        <w:t>（1）货物质量要求：</w:t>
      </w:r>
    </w:p>
    <w:p w14:paraId="24D1AAB0">
      <w:pPr>
        <w:spacing w:line="360" w:lineRule="auto"/>
        <w:ind w:firstLine="420" w:firstLineChars="200"/>
        <w:rPr>
          <w:rFonts w:ascii="宋体" w:hAnsi="宋体"/>
          <w:szCs w:val="21"/>
        </w:rPr>
      </w:pPr>
      <w:r>
        <w:rPr>
          <w:rFonts w:hint="eastAsia" w:ascii="宋体" w:hAnsi="宋体"/>
          <w:szCs w:val="21"/>
        </w:rPr>
        <w:t>从蔬菜色泽看，各种蔬菜都应具有本品种固有的颜色，大多数有发亮的光泽，以此显示蔬菜的成熟度及鲜嫩程度；</w:t>
      </w:r>
    </w:p>
    <w:p w14:paraId="6BA0A711">
      <w:pPr>
        <w:spacing w:line="360" w:lineRule="auto"/>
        <w:ind w:firstLine="420" w:firstLineChars="200"/>
        <w:rPr>
          <w:rFonts w:ascii="宋体" w:hAnsi="宋体"/>
          <w:szCs w:val="21"/>
        </w:rPr>
      </w:pPr>
      <w:r>
        <w:rPr>
          <w:rFonts w:hint="eastAsia" w:ascii="宋体" w:hAnsi="宋体"/>
          <w:szCs w:val="21"/>
        </w:rPr>
        <w:t>从蔬菜气味看，多数蔬菜具有清馨、甘辛香、甜酸香等气味，可凭嗅觉识别不同品种的质量，不允许有腐烂变质的或其他异常气味；</w:t>
      </w:r>
    </w:p>
    <w:p w14:paraId="639E5050">
      <w:pPr>
        <w:spacing w:line="360" w:lineRule="auto"/>
        <w:ind w:firstLine="420" w:firstLineChars="200"/>
        <w:rPr>
          <w:rFonts w:ascii="宋体" w:hAnsi="宋体"/>
          <w:szCs w:val="21"/>
        </w:rPr>
      </w:pPr>
      <w:r>
        <w:rPr>
          <w:rFonts w:hint="eastAsia" w:ascii="宋体" w:hAnsi="宋体"/>
          <w:szCs w:val="21"/>
        </w:rPr>
        <w:t>从蔬菜滋味看，因品种不同而各异，多数蔬菜滋味甘淡、甜酸、清爽鲜美，少数具有辛酸、苦涩等特殊风味，如失去本品种原有的滋味即为异常；</w:t>
      </w:r>
    </w:p>
    <w:p w14:paraId="218B219D">
      <w:pPr>
        <w:spacing w:line="360" w:lineRule="auto"/>
        <w:ind w:firstLine="420" w:firstLineChars="200"/>
        <w:rPr>
          <w:rFonts w:ascii="宋体" w:hAnsi="宋体"/>
          <w:szCs w:val="21"/>
        </w:rPr>
      </w:pPr>
      <w:r>
        <w:rPr>
          <w:rFonts w:hint="eastAsia" w:ascii="宋体" w:hAnsi="宋体"/>
          <w:szCs w:val="21"/>
        </w:rPr>
        <w:t>从蔬菜形态看，应尽量避免由于客观因素而造成的各种非正常、不新鲜的蔬菜，例如萎蔫、枯塌、损伤、病变、虫害侵蚀等引起的形态异常等。</w:t>
      </w:r>
    </w:p>
    <w:p w14:paraId="75107EB0">
      <w:pPr>
        <w:spacing w:line="360" w:lineRule="auto"/>
        <w:ind w:firstLine="420" w:firstLineChars="200"/>
        <w:rPr>
          <w:rFonts w:ascii="宋体" w:hAnsi="宋体"/>
          <w:szCs w:val="21"/>
        </w:rPr>
      </w:pPr>
      <w:r>
        <w:rPr>
          <w:rFonts w:hint="eastAsia" w:ascii="宋体" w:hAnsi="宋体"/>
          <w:szCs w:val="21"/>
        </w:rPr>
        <w:t>（2）供应和管理要求</w:t>
      </w:r>
    </w:p>
    <w:p w14:paraId="060EF424">
      <w:pPr>
        <w:spacing w:line="360" w:lineRule="auto"/>
        <w:ind w:firstLine="420" w:firstLineChars="200"/>
        <w:rPr>
          <w:rFonts w:ascii="宋体" w:hAnsi="宋体"/>
          <w:szCs w:val="21"/>
        </w:rPr>
      </w:pPr>
      <w:r>
        <w:rPr>
          <w:rFonts w:hint="eastAsia" w:ascii="宋体" w:hAnsi="宋体"/>
          <w:szCs w:val="21"/>
        </w:rPr>
        <w:t>2.1蔬菜供应的品种安排（分主菜和配菜）。</w:t>
      </w:r>
    </w:p>
    <w:p w14:paraId="4061EB6A">
      <w:pPr>
        <w:spacing w:line="360" w:lineRule="auto"/>
        <w:ind w:firstLine="420" w:firstLineChars="200"/>
        <w:rPr>
          <w:rFonts w:ascii="宋体" w:hAnsi="宋体"/>
          <w:szCs w:val="21"/>
        </w:rPr>
      </w:pPr>
      <w:r>
        <w:rPr>
          <w:rFonts w:hint="eastAsia" w:ascii="宋体" w:hAnsi="宋体"/>
          <w:szCs w:val="21"/>
        </w:rPr>
        <w:t>2.1.1配菜品种按采购人计划和要求的品种供应。</w:t>
      </w:r>
    </w:p>
    <w:p w14:paraId="1A56AC87">
      <w:pPr>
        <w:spacing w:line="360" w:lineRule="auto"/>
        <w:ind w:firstLine="420" w:firstLineChars="200"/>
        <w:rPr>
          <w:rFonts w:ascii="宋体" w:hAnsi="宋体"/>
          <w:szCs w:val="21"/>
        </w:rPr>
      </w:pPr>
      <w:r>
        <w:rPr>
          <w:rFonts w:hint="eastAsia" w:ascii="宋体" w:hAnsi="宋体"/>
          <w:szCs w:val="21"/>
        </w:rPr>
        <w:t>2.1.2主菜品种由供求双方根据季节安排，但要确保每周有3个品种以上，每个品种。不少于2次，6-9月叶菜类不少于30％，其余时间叶菜类不少于50％。</w:t>
      </w:r>
    </w:p>
    <w:p w14:paraId="4A813EA1">
      <w:pPr>
        <w:spacing w:line="360" w:lineRule="auto"/>
        <w:ind w:firstLine="420" w:firstLineChars="200"/>
        <w:rPr>
          <w:rFonts w:ascii="宋体" w:hAnsi="宋体"/>
          <w:szCs w:val="21"/>
        </w:rPr>
      </w:pPr>
      <w:r>
        <w:rPr>
          <w:rFonts w:hint="eastAsia" w:ascii="宋体" w:hAnsi="宋体"/>
          <w:szCs w:val="21"/>
        </w:rPr>
        <w:t>2.2蔬菜包装与标志要求：</w:t>
      </w:r>
    </w:p>
    <w:p w14:paraId="5E0DF5FE">
      <w:pPr>
        <w:spacing w:line="360" w:lineRule="auto"/>
        <w:ind w:firstLine="420" w:firstLineChars="200"/>
        <w:rPr>
          <w:rFonts w:ascii="宋体" w:hAnsi="宋体"/>
          <w:szCs w:val="21"/>
        </w:rPr>
      </w:pPr>
      <w:r>
        <w:rPr>
          <w:rFonts w:hint="eastAsia" w:ascii="宋体" w:hAnsi="宋体"/>
          <w:szCs w:val="21"/>
        </w:rPr>
        <w:t>包装：容器(框、箱、袋)要求清洁、干燥、牢固、透气，无污染、无异味、无霉变现象。</w:t>
      </w:r>
    </w:p>
    <w:p w14:paraId="44C00DEF">
      <w:pPr>
        <w:spacing w:line="360" w:lineRule="auto"/>
        <w:ind w:firstLine="420" w:firstLineChars="200"/>
        <w:rPr>
          <w:rFonts w:ascii="宋体" w:hAnsi="宋体"/>
          <w:szCs w:val="21"/>
        </w:rPr>
      </w:pPr>
      <w:r>
        <w:rPr>
          <w:rFonts w:hint="eastAsia" w:ascii="宋体" w:hAnsi="宋体"/>
          <w:szCs w:val="21"/>
        </w:rPr>
        <w:t>标志：每件包装必须按《农产品包装和标识管理办法》贴标签，并标明产地、品种、净含量、生产单位及地址和采收日期。</w:t>
      </w:r>
    </w:p>
    <w:p w14:paraId="36E19164">
      <w:pPr>
        <w:spacing w:line="360" w:lineRule="auto"/>
        <w:ind w:firstLine="420" w:firstLineChars="200"/>
        <w:rPr>
          <w:rFonts w:ascii="宋体" w:hAnsi="宋体"/>
          <w:szCs w:val="21"/>
        </w:rPr>
      </w:pPr>
      <w:r>
        <w:rPr>
          <w:rFonts w:hint="eastAsia" w:ascii="宋体" w:hAnsi="宋体"/>
          <w:szCs w:val="21"/>
        </w:rPr>
        <w:t>2.3食品供应链要求：所有食品的来源必须清晰。蔬菜来源须为自有基地、商品菜基地或蔬菜专业流通市场，严禁收购散户农民的蔬菜供应。每天按照约定时间送到采购人指定地点。</w:t>
      </w:r>
    </w:p>
    <w:p w14:paraId="09B52450">
      <w:pPr>
        <w:spacing w:line="360" w:lineRule="auto"/>
        <w:ind w:firstLine="420" w:firstLineChars="200"/>
        <w:rPr>
          <w:rFonts w:ascii="宋体" w:hAnsi="宋体"/>
          <w:szCs w:val="21"/>
        </w:rPr>
      </w:pPr>
      <w:r>
        <w:rPr>
          <w:rFonts w:hint="eastAsia" w:ascii="宋体" w:hAnsi="宋体"/>
          <w:szCs w:val="21"/>
        </w:rPr>
        <w:t>2.4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14:paraId="4531BB49">
      <w:pPr>
        <w:spacing w:line="360" w:lineRule="auto"/>
        <w:ind w:firstLine="420" w:firstLineChars="200"/>
        <w:rPr>
          <w:rFonts w:ascii="宋体" w:hAnsi="宋体"/>
          <w:szCs w:val="21"/>
        </w:rPr>
      </w:pPr>
      <w:r>
        <w:rPr>
          <w:rFonts w:hint="eastAsia" w:ascii="宋体" w:hAnsi="宋体"/>
          <w:szCs w:val="21"/>
        </w:rPr>
        <w:t>（3）蔬菜卫生质量要求</w:t>
      </w:r>
    </w:p>
    <w:p w14:paraId="70924EA6">
      <w:pPr>
        <w:spacing w:line="360" w:lineRule="auto"/>
        <w:ind w:firstLine="420" w:firstLineChars="200"/>
        <w:rPr>
          <w:rFonts w:ascii="宋体" w:hAnsi="宋体"/>
          <w:szCs w:val="21"/>
        </w:rPr>
      </w:pPr>
      <w:r>
        <w:rPr>
          <w:rFonts w:hint="eastAsia" w:ascii="宋体" w:hAnsi="宋体"/>
          <w:szCs w:val="21"/>
        </w:rPr>
        <w:t>卫生质量指标，应符合我国无公害蔬菜上的卫生指标规定。</w:t>
      </w:r>
    </w:p>
    <w:tbl>
      <w:tblPr>
        <w:tblStyle w:val="4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37"/>
        <w:gridCol w:w="4540"/>
      </w:tblGrid>
      <w:tr w14:paraId="6A4E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499" w:type="pct"/>
            <w:noWrap/>
            <w:vAlign w:val="center"/>
          </w:tcPr>
          <w:p w14:paraId="092166CB">
            <w:pPr>
              <w:spacing w:line="360" w:lineRule="auto"/>
              <w:jc w:val="center"/>
              <w:rPr>
                <w:rFonts w:ascii="宋体" w:hAnsi="宋体"/>
                <w:szCs w:val="21"/>
              </w:rPr>
            </w:pPr>
            <w:r>
              <w:rPr>
                <w:rFonts w:hint="eastAsia" w:ascii="宋体" w:hAnsi="宋体"/>
                <w:szCs w:val="21"/>
              </w:rPr>
              <w:t>项目</w:t>
            </w:r>
          </w:p>
        </w:tc>
        <w:tc>
          <w:tcPr>
            <w:tcW w:w="2500" w:type="pct"/>
            <w:noWrap/>
            <w:vAlign w:val="center"/>
          </w:tcPr>
          <w:p w14:paraId="38C66A69">
            <w:pPr>
              <w:spacing w:line="360" w:lineRule="auto"/>
              <w:jc w:val="center"/>
              <w:rPr>
                <w:rFonts w:ascii="宋体" w:hAnsi="宋体"/>
                <w:szCs w:val="21"/>
              </w:rPr>
            </w:pPr>
            <w:r>
              <w:rPr>
                <w:rFonts w:hint="eastAsia" w:ascii="宋体" w:hAnsi="宋体"/>
                <w:szCs w:val="21"/>
              </w:rPr>
              <w:t>指标（mg/kg）</w:t>
            </w:r>
          </w:p>
        </w:tc>
      </w:tr>
      <w:tr w14:paraId="3221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36A6015D">
            <w:pPr>
              <w:spacing w:line="360" w:lineRule="auto"/>
              <w:jc w:val="center"/>
              <w:rPr>
                <w:rFonts w:ascii="宋体" w:hAnsi="宋体"/>
                <w:szCs w:val="21"/>
              </w:rPr>
            </w:pPr>
            <w:r>
              <w:rPr>
                <w:rFonts w:hint="eastAsia" w:ascii="宋体" w:hAnsi="宋体"/>
                <w:szCs w:val="21"/>
              </w:rPr>
              <w:t>甲胺磷</w:t>
            </w:r>
          </w:p>
        </w:tc>
        <w:tc>
          <w:tcPr>
            <w:tcW w:w="2500" w:type="pct"/>
            <w:noWrap/>
          </w:tcPr>
          <w:p w14:paraId="3F2BED62">
            <w:pPr>
              <w:spacing w:line="360" w:lineRule="auto"/>
              <w:jc w:val="center"/>
              <w:rPr>
                <w:rFonts w:ascii="宋体" w:hAnsi="宋体"/>
                <w:szCs w:val="21"/>
              </w:rPr>
            </w:pPr>
            <w:r>
              <w:rPr>
                <w:rFonts w:hint="eastAsia" w:ascii="宋体" w:hAnsi="宋体"/>
                <w:szCs w:val="21"/>
              </w:rPr>
              <w:t>不得检出</w:t>
            </w:r>
          </w:p>
        </w:tc>
      </w:tr>
      <w:tr w14:paraId="0779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049F40F7">
            <w:pPr>
              <w:spacing w:line="360" w:lineRule="auto"/>
              <w:jc w:val="center"/>
              <w:rPr>
                <w:rFonts w:ascii="宋体" w:hAnsi="宋体"/>
                <w:szCs w:val="21"/>
              </w:rPr>
            </w:pPr>
            <w:r>
              <w:rPr>
                <w:rFonts w:hint="eastAsia" w:ascii="宋体" w:hAnsi="宋体"/>
                <w:szCs w:val="21"/>
              </w:rPr>
              <w:t>甲拌磷</w:t>
            </w:r>
          </w:p>
        </w:tc>
        <w:tc>
          <w:tcPr>
            <w:tcW w:w="2500" w:type="pct"/>
            <w:noWrap/>
          </w:tcPr>
          <w:p w14:paraId="579421F3">
            <w:pPr>
              <w:spacing w:line="360" w:lineRule="auto"/>
              <w:jc w:val="center"/>
              <w:rPr>
                <w:rFonts w:ascii="宋体" w:hAnsi="宋体"/>
                <w:szCs w:val="21"/>
              </w:rPr>
            </w:pPr>
            <w:r>
              <w:rPr>
                <w:rFonts w:hint="eastAsia" w:ascii="宋体" w:hAnsi="宋体"/>
                <w:szCs w:val="21"/>
              </w:rPr>
              <w:t>不得检出</w:t>
            </w:r>
          </w:p>
        </w:tc>
      </w:tr>
      <w:tr w14:paraId="4224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258769E5">
            <w:pPr>
              <w:spacing w:line="360" w:lineRule="auto"/>
              <w:jc w:val="center"/>
              <w:rPr>
                <w:rFonts w:ascii="宋体" w:hAnsi="宋体"/>
                <w:szCs w:val="21"/>
              </w:rPr>
            </w:pPr>
            <w:r>
              <w:rPr>
                <w:rFonts w:hint="eastAsia" w:ascii="宋体" w:hAnsi="宋体"/>
                <w:szCs w:val="21"/>
              </w:rPr>
              <w:t>氧化乐果</w:t>
            </w:r>
          </w:p>
        </w:tc>
        <w:tc>
          <w:tcPr>
            <w:tcW w:w="2500" w:type="pct"/>
            <w:noWrap/>
          </w:tcPr>
          <w:p w14:paraId="71392B6B">
            <w:pPr>
              <w:spacing w:line="360" w:lineRule="auto"/>
              <w:jc w:val="center"/>
              <w:rPr>
                <w:rFonts w:ascii="宋体" w:hAnsi="宋体"/>
                <w:szCs w:val="21"/>
              </w:rPr>
            </w:pPr>
            <w:r>
              <w:rPr>
                <w:rFonts w:hint="eastAsia" w:ascii="宋体" w:hAnsi="宋体"/>
                <w:szCs w:val="21"/>
              </w:rPr>
              <w:t>不得检出</w:t>
            </w:r>
          </w:p>
        </w:tc>
      </w:tr>
      <w:tr w14:paraId="5D7D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24E25DBB">
            <w:pPr>
              <w:spacing w:line="360" w:lineRule="auto"/>
              <w:jc w:val="center"/>
              <w:rPr>
                <w:rFonts w:ascii="宋体" w:hAnsi="宋体"/>
                <w:szCs w:val="21"/>
              </w:rPr>
            </w:pPr>
            <w:r>
              <w:rPr>
                <w:rFonts w:hint="eastAsia" w:ascii="宋体" w:hAnsi="宋体"/>
                <w:szCs w:val="21"/>
              </w:rPr>
              <w:t>甲基对硫磷</w:t>
            </w:r>
          </w:p>
        </w:tc>
        <w:tc>
          <w:tcPr>
            <w:tcW w:w="2500" w:type="pct"/>
            <w:noWrap/>
          </w:tcPr>
          <w:p w14:paraId="695919BD">
            <w:pPr>
              <w:spacing w:line="360" w:lineRule="auto"/>
              <w:jc w:val="center"/>
              <w:rPr>
                <w:rFonts w:ascii="宋体" w:hAnsi="宋体"/>
                <w:szCs w:val="21"/>
              </w:rPr>
            </w:pPr>
            <w:r>
              <w:rPr>
                <w:rFonts w:hint="eastAsia" w:ascii="宋体" w:hAnsi="宋体"/>
                <w:szCs w:val="21"/>
              </w:rPr>
              <w:t>不得检出</w:t>
            </w:r>
          </w:p>
        </w:tc>
      </w:tr>
      <w:tr w14:paraId="4CB5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1CC4A87B">
            <w:pPr>
              <w:spacing w:line="360" w:lineRule="auto"/>
              <w:jc w:val="center"/>
              <w:rPr>
                <w:rFonts w:ascii="宋体" w:hAnsi="宋体"/>
                <w:szCs w:val="21"/>
              </w:rPr>
            </w:pPr>
            <w:r>
              <w:rPr>
                <w:rFonts w:hint="eastAsia" w:ascii="宋体" w:hAnsi="宋体"/>
                <w:szCs w:val="21"/>
              </w:rPr>
              <w:t>呋喃丹</w:t>
            </w:r>
          </w:p>
        </w:tc>
        <w:tc>
          <w:tcPr>
            <w:tcW w:w="2500" w:type="pct"/>
            <w:noWrap/>
          </w:tcPr>
          <w:p w14:paraId="4B9014DD">
            <w:pPr>
              <w:spacing w:line="360" w:lineRule="auto"/>
              <w:jc w:val="center"/>
              <w:rPr>
                <w:rFonts w:ascii="宋体" w:hAnsi="宋体"/>
                <w:szCs w:val="21"/>
              </w:rPr>
            </w:pPr>
            <w:r>
              <w:rPr>
                <w:rFonts w:hint="eastAsia" w:ascii="宋体" w:hAnsi="宋体"/>
                <w:szCs w:val="21"/>
              </w:rPr>
              <w:t>不得检出</w:t>
            </w:r>
          </w:p>
        </w:tc>
      </w:tr>
      <w:tr w14:paraId="5AD5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464BE598">
            <w:pPr>
              <w:spacing w:line="360" w:lineRule="auto"/>
              <w:jc w:val="center"/>
              <w:rPr>
                <w:rFonts w:ascii="宋体" w:hAnsi="宋体"/>
                <w:szCs w:val="21"/>
              </w:rPr>
            </w:pPr>
            <w:r>
              <w:rPr>
                <w:rFonts w:hint="eastAsia" w:ascii="宋体" w:hAnsi="宋体"/>
                <w:szCs w:val="21"/>
              </w:rPr>
              <w:t>百菌清</w:t>
            </w:r>
          </w:p>
        </w:tc>
        <w:tc>
          <w:tcPr>
            <w:tcW w:w="2500" w:type="pct"/>
            <w:noWrap/>
          </w:tcPr>
          <w:p w14:paraId="01992624">
            <w:pPr>
              <w:spacing w:line="360" w:lineRule="auto"/>
              <w:jc w:val="center"/>
              <w:rPr>
                <w:rFonts w:ascii="宋体" w:hAnsi="宋体"/>
                <w:szCs w:val="21"/>
              </w:rPr>
            </w:pPr>
            <w:r>
              <w:rPr>
                <w:rFonts w:hint="eastAsia" w:ascii="宋体" w:hAnsi="宋体"/>
                <w:szCs w:val="21"/>
              </w:rPr>
              <w:t>≤1.0</w:t>
            </w:r>
          </w:p>
        </w:tc>
      </w:tr>
      <w:tr w14:paraId="2B80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10CF201E">
            <w:pPr>
              <w:spacing w:line="360" w:lineRule="auto"/>
              <w:jc w:val="center"/>
              <w:rPr>
                <w:rFonts w:ascii="宋体" w:hAnsi="宋体"/>
                <w:szCs w:val="21"/>
              </w:rPr>
            </w:pPr>
            <w:r>
              <w:rPr>
                <w:rFonts w:hint="eastAsia" w:ascii="宋体" w:hAnsi="宋体"/>
                <w:szCs w:val="21"/>
              </w:rPr>
              <w:t>多菌灵</w:t>
            </w:r>
          </w:p>
        </w:tc>
        <w:tc>
          <w:tcPr>
            <w:tcW w:w="2500" w:type="pct"/>
            <w:noWrap/>
          </w:tcPr>
          <w:p w14:paraId="650CF885">
            <w:pPr>
              <w:spacing w:line="360" w:lineRule="auto"/>
              <w:jc w:val="center"/>
              <w:rPr>
                <w:rFonts w:ascii="宋体" w:hAnsi="宋体"/>
                <w:szCs w:val="21"/>
              </w:rPr>
            </w:pPr>
            <w:r>
              <w:rPr>
                <w:rFonts w:hint="eastAsia" w:ascii="宋体" w:hAnsi="宋体"/>
                <w:szCs w:val="21"/>
              </w:rPr>
              <w:t>≤0.5</w:t>
            </w:r>
          </w:p>
        </w:tc>
      </w:tr>
      <w:tr w14:paraId="5D05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33AF09B0">
            <w:pPr>
              <w:spacing w:line="360" w:lineRule="auto"/>
              <w:jc w:val="center"/>
              <w:rPr>
                <w:rFonts w:ascii="宋体" w:hAnsi="宋体"/>
                <w:szCs w:val="21"/>
              </w:rPr>
            </w:pPr>
            <w:r>
              <w:rPr>
                <w:rFonts w:hint="eastAsia" w:ascii="宋体" w:hAnsi="宋体"/>
                <w:szCs w:val="21"/>
              </w:rPr>
              <w:t>汞（以Hg计）</w:t>
            </w:r>
          </w:p>
        </w:tc>
        <w:tc>
          <w:tcPr>
            <w:tcW w:w="2500" w:type="pct"/>
            <w:noWrap/>
          </w:tcPr>
          <w:p w14:paraId="2CE99AD5">
            <w:pPr>
              <w:spacing w:line="360" w:lineRule="auto"/>
              <w:jc w:val="center"/>
              <w:rPr>
                <w:rFonts w:ascii="宋体" w:hAnsi="宋体"/>
                <w:szCs w:val="21"/>
              </w:rPr>
            </w:pPr>
            <w:r>
              <w:rPr>
                <w:rFonts w:hint="eastAsia" w:ascii="宋体" w:hAnsi="宋体"/>
                <w:szCs w:val="21"/>
              </w:rPr>
              <w:t>≤0.01</w:t>
            </w:r>
          </w:p>
        </w:tc>
      </w:tr>
      <w:tr w14:paraId="3DFE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3A92AAD2">
            <w:pPr>
              <w:spacing w:line="360" w:lineRule="auto"/>
              <w:jc w:val="center"/>
              <w:rPr>
                <w:rFonts w:ascii="宋体" w:hAnsi="宋体"/>
                <w:szCs w:val="21"/>
              </w:rPr>
            </w:pPr>
            <w:r>
              <w:rPr>
                <w:rFonts w:hint="eastAsia" w:ascii="宋体" w:hAnsi="宋体"/>
                <w:szCs w:val="21"/>
              </w:rPr>
              <w:t>铅（以Pb计）</w:t>
            </w:r>
          </w:p>
        </w:tc>
        <w:tc>
          <w:tcPr>
            <w:tcW w:w="2500" w:type="pct"/>
            <w:noWrap/>
          </w:tcPr>
          <w:p w14:paraId="7030027A">
            <w:pPr>
              <w:spacing w:line="360" w:lineRule="auto"/>
              <w:jc w:val="center"/>
              <w:rPr>
                <w:rFonts w:ascii="宋体" w:hAnsi="宋体"/>
                <w:szCs w:val="21"/>
              </w:rPr>
            </w:pPr>
            <w:r>
              <w:rPr>
                <w:rFonts w:hint="eastAsia" w:ascii="宋体" w:hAnsi="宋体"/>
                <w:szCs w:val="21"/>
              </w:rPr>
              <w:t>≤0.2</w:t>
            </w:r>
          </w:p>
        </w:tc>
      </w:tr>
      <w:tr w14:paraId="57E4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2B0E5905">
            <w:pPr>
              <w:spacing w:line="360" w:lineRule="auto"/>
              <w:jc w:val="center"/>
              <w:rPr>
                <w:rFonts w:ascii="宋体" w:hAnsi="宋体"/>
                <w:szCs w:val="21"/>
              </w:rPr>
            </w:pPr>
            <w:r>
              <w:rPr>
                <w:rFonts w:hint="eastAsia" w:ascii="宋体" w:hAnsi="宋体"/>
                <w:szCs w:val="21"/>
              </w:rPr>
              <w:t>砷（以As计）</w:t>
            </w:r>
          </w:p>
        </w:tc>
        <w:tc>
          <w:tcPr>
            <w:tcW w:w="2500" w:type="pct"/>
            <w:noWrap/>
          </w:tcPr>
          <w:p w14:paraId="24FED1B7">
            <w:pPr>
              <w:spacing w:line="360" w:lineRule="auto"/>
              <w:jc w:val="center"/>
              <w:rPr>
                <w:rFonts w:ascii="宋体" w:hAnsi="宋体"/>
                <w:szCs w:val="21"/>
              </w:rPr>
            </w:pPr>
            <w:r>
              <w:rPr>
                <w:rFonts w:hint="eastAsia" w:ascii="宋体" w:hAnsi="宋体"/>
                <w:szCs w:val="21"/>
              </w:rPr>
              <w:t>≤0.5</w:t>
            </w:r>
          </w:p>
        </w:tc>
      </w:tr>
      <w:tr w14:paraId="7ACF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2EF34C26">
            <w:pPr>
              <w:spacing w:line="360" w:lineRule="auto"/>
              <w:jc w:val="center"/>
              <w:rPr>
                <w:rFonts w:ascii="宋体" w:hAnsi="宋体"/>
                <w:szCs w:val="21"/>
              </w:rPr>
            </w:pPr>
            <w:r>
              <w:rPr>
                <w:rFonts w:hint="eastAsia" w:ascii="宋体" w:hAnsi="宋体"/>
                <w:szCs w:val="21"/>
              </w:rPr>
              <w:t>氟（以F计）</w:t>
            </w:r>
          </w:p>
        </w:tc>
        <w:tc>
          <w:tcPr>
            <w:tcW w:w="2500" w:type="pct"/>
            <w:noWrap/>
          </w:tcPr>
          <w:p w14:paraId="6DD3294F">
            <w:pPr>
              <w:spacing w:line="360" w:lineRule="auto"/>
              <w:jc w:val="center"/>
              <w:rPr>
                <w:rFonts w:ascii="宋体" w:hAnsi="宋体"/>
                <w:szCs w:val="21"/>
              </w:rPr>
            </w:pPr>
            <w:r>
              <w:rPr>
                <w:rFonts w:hint="eastAsia" w:ascii="宋体" w:hAnsi="宋体"/>
                <w:szCs w:val="21"/>
              </w:rPr>
              <w:t>≤0.5</w:t>
            </w:r>
          </w:p>
        </w:tc>
      </w:tr>
      <w:tr w14:paraId="10F2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2DB4E2CE">
            <w:pPr>
              <w:spacing w:line="360" w:lineRule="auto"/>
              <w:jc w:val="center"/>
              <w:rPr>
                <w:rFonts w:ascii="宋体" w:hAnsi="宋体"/>
                <w:szCs w:val="21"/>
              </w:rPr>
            </w:pPr>
            <w:r>
              <w:rPr>
                <w:rFonts w:hint="eastAsia" w:ascii="宋体" w:hAnsi="宋体"/>
                <w:szCs w:val="21"/>
              </w:rPr>
              <w:t>硝酸盐（以NaNO3计）</w:t>
            </w:r>
          </w:p>
        </w:tc>
        <w:tc>
          <w:tcPr>
            <w:tcW w:w="2500" w:type="pct"/>
            <w:noWrap/>
          </w:tcPr>
          <w:p w14:paraId="50FEC1F4">
            <w:pPr>
              <w:spacing w:line="360" w:lineRule="auto"/>
              <w:jc w:val="center"/>
              <w:rPr>
                <w:rFonts w:ascii="宋体" w:hAnsi="宋体"/>
                <w:szCs w:val="21"/>
              </w:rPr>
            </w:pPr>
            <w:r>
              <w:rPr>
                <w:rFonts w:hint="eastAsia" w:ascii="宋体" w:hAnsi="宋体"/>
                <w:szCs w:val="21"/>
              </w:rPr>
              <w:t>瓜果类≤600；叶菜根茎类≤120</w:t>
            </w:r>
          </w:p>
        </w:tc>
      </w:tr>
      <w:tr w14:paraId="1874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99" w:type="pct"/>
            <w:noWrap/>
          </w:tcPr>
          <w:p w14:paraId="575017B9">
            <w:pPr>
              <w:spacing w:line="360" w:lineRule="auto"/>
              <w:jc w:val="center"/>
              <w:rPr>
                <w:rFonts w:ascii="宋体" w:hAnsi="宋体"/>
                <w:szCs w:val="21"/>
              </w:rPr>
            </w:pPr>
            <w:r>
              <w:rPr>
                <w:rFonts w:hint="eastAsia" w:ascii="宋体" w:hAnsi="宋体"/>
                <w:szCs w:val="21"/>
              </w:rPr>
              <w:t>亚硝酸盐（以NaNO2计）</w:t>
            </w:r>
          </w:p>
        </w:tc>
        <w:tc>
          <w:tcPr>
            <w:tcW w:w="2500" w:type="pct"/>
            <w:noWrap/>
          </w:tcPr>
          <w:p w14:paraId="4FCB4E30">
            <w:pPr>
              <w:spacing w:line="360" w:lineRule="auto"/>
              <w:jc w:val="center"/>
              <w:rPr>
                <w:rFonts w:ascii="宋体" w:hAnsi="宋体"/>
                <w:szCs w:val="21"/>
              </w:rPr>
            </w:pPr>
            <w:r>
              <w:rPr>
                <w:rFonts w:hint="eastAsia" w:ascii="宋体" w:hAnsi="宋体"/>
                <w:szCs w:val="21"/>
              </w:rPr>
              <w:t>≤4</w:t>
            </w:r>
          </w:p>
        </w:tc>
      </w:tr>
    </w:tbl>
    <w:p w14:paraId="73952D28">
      <w:pPr>
        <w:spacing w:line="360" w:lineRule="auto"/>
        <w:ind w:firstLine="420" w:firstLineChars="200"/>
        <w:rPr>
          <w:rFonts w:ascii="宋体" w:hAnsi="宋体"/>
          <w:szCs w:val="21"/>
        </w:rPr>
      </w:pPr>
      <w:r>
        <w:rPr>
          <w:rFonts w:hint="eastAsia" w:ascii="宋体" w:hAnsi="宋体"/>
          <w:szCs w:val="21"/>
        </w:rPr>
        <w:t>（4）蔬菜验收时发现问题的处理方法：</w:t>
      </w:r>
    </w:p>
    <w:p w14:paraId="7E22B262">
      <w:pPr>
        <w:spacing w:line="360" w:lineRule="auto"/>
        <w:ind w:firstLine="420" w:firstLineChars="200"/>
        <w:rPr>
          <w:rFonts w:ascii="宋体" w:hAnsi="宋体"/>
          <w:szCs w:val="21"/>
        </w:rPr>
      </w:pPr>
      <w:r>
        <w:rPr>
          <w:rFonts w:hint="eastAsia" w:ascii="宋体" w:hAnsi="宋体"/>
          <w:szCs w:val="21"/>
        </w:rPr>
        <w:t>4.1按后附产品质量描述对货物质量进行抽查。</w:t>
      </w:r>
    </w:p>
    <w:p w14:paraId="0BAB2261">
      <w:pPr>
        <w:spacing w:line="360" w:lineRule="auto"/>
        <w:ind w:firstLine="420" w:firstLineChars="200"/>
        <w:rPr>
          <w:rFonts w:ascii="宋体" w:hAnsi="宋体"/>
          <w:szCs w:val="21"/>
        </w:rPr>
      </w:pPr>
      <w:r>
        <w:rPr>
          <w:rFonts w:hint="eastAsia" w:ascii="宋体" w:hAnsi="宋体"/>
          <w:szCs w:val="21"/>
        </w:rPr>
        <w:t>4.2抽查发现食品安全质量问题的处理：</w:t>
      </w:r>
    </w:p>
    <w:p w14:paraId="6C79BF37">
      <w:pPr>
        <w:spacing w:line="360" w:lineRule="auto"/>
        <w:ind w:firstLine="420" w:firstLineChars="200"/>
        <w:rPr>
          <w:rFonts w:ascii="宋体" w:hAnsi="宋体"/>
          <w:szCs w:val="21"/>
        </w:rPr>
      </w:pPr>
      <w:r>
        <w:rPr>
          <w:rFonts w:hint="eastAsia" w:ascii="宋体" w:hAnsi="宋体"/>
          <w:szCs w:val="21"/>
        </w:rPr>
        <w:t>对危及人身安全的食品质量问题采取零容忍措施，一经发现，当日所送同批次产品全部退货，如水产品中发现农药残留超标，发现腐败变质蔬菜等。</w:t>
      </w:r>
    </w:p>
    <w:p w14:paraId="377E40FE">
      <w:pPr>
        <w:spacing w:line="360" w:lineRule="auto"/>
        <w:ind w:firstLine="420" w:firstLineChars="200"/>
        <w:rPr>
          <w:rFonts w:ascii="宋体" w:hAnsi="宋体"/>
          <w:szCs w:val="21"/>
        </w:rPr>
      </w:pPr>
      <w:r>
        <w:rPr>
          <w:rFonts w:hint="eastAsia" w:ascii="宋体" w:hAnsi="宋体"/>
          <w:szCs w:val="21"/>
        </w:rPr>
        <w:t>若抽查未发现问题，而在加工食用前发现部分产品质量问题，应立即通知单位伙食物资验收小组及供应商，将问题产品退货处理。</w:t>
      </w:r>
    </w:p>
    <w:p w14:paraId="0DF3678B">
      <w:pPr>
        <w:spacing w:line="360" w:lineRule="auto"/>
        <w:ind w:firstLine="422" w:firstLineChars="200"/>
        <w:rPr>
          <w:rFonts w:ascii="宋体" w:hAnsi="宋体"/>
          <w:b/>
          <w:bCs/>
          <w:szCs w:val="21"/>
        </w:rPr>
      </w:pPr>
      <w:r>
        <w:rPr>
          <w:rFonts w:hint="eastAsia" w:ascii="宋体" w:hAnsi="宋体"/>
          <w:b/>
          <w:bCs/>
          <w:szCs w:val="21"/>
        </w:rPr>
        <w:t>3.干货类</w:t>
      </w:r>
    </w:p>
    <w:p w14:paraId="63B689E1">
      <w:pPr>
        <w:spacing w:line="360" w:lineRule="auto"/>
        <w:ind w:firstLine="420" w:firstLineChars="200"/>
        <w:rPr>
          <w:rFonts w:ascii="宋体" w:hAnsi="宋体"/>
          <w:szCs w:val="21"/>
        </w:rPr>
      </w:pPr>
      <w:r>
        <w:rPr>
          <w:rFonts w:hint="eastAsia" w:ascii="宋体" w:hAnsi="宋体"/>
          <w:szCs w:val="21"/>
        </w:rPr>
        <w:t>（1）供应产品质量要求：</w:t>
      </w:r>
    </w:p>
    <w:p w14:paraId="0C5A5E66">
      <w:pPr>
        <w:spacing w:line="360" w:lineRule="auto"/>
        <w:ind w:firstLine="420" w:firstLineChars="200"/>
        <w:rPr>
          <w:rFonts w:ascii="宋体" w:hAnsi="宋体"/>
          <w:szCs w:val="21"/>
        </w:rPr>
      </w:pPr>
      <w:r>
        <w:rPr>
          <w:rFonts w:hint="eastAsia" w:ascii="宋体" w:hAnsi="宋体"/>
          <w:szCs w:val="21"/>
        </w:rPr>
        <w:t>1.1供应商所提供产品质量必须要符合行业标准要求，不得有掺假、变质、变味、过期等现象出现，严禁伪劣、假冒、无证不合格物品进入仓库。</w:t>
      </w:r>
    </w:p>
    <w:p w14:paraId="5FE92755">
      <w:pPr>
        <w:spacing w:line="360" w:lineRule="auto"/>
        <w:ind w:firstLine="420" w:firstLineChars="200"/>
        <w:rPr>
          <w:rFonts w:ascii="宋体" w:hAnsi="宋体"/>
          <w:szCs w:val="21"/>
        </w:rPr>
      </w:pPr>
      <w:r>
        <w:rPr>
          <w:rFonts w:hint="eastAsia" w:ascii="宋体" w:hAnsi="宋体"/>
          <w:szCs w:val="21"/>
        </w:rPr>
        <w:t>1.2供应商所提供产品必须价格合理，应按照投标报价供给，否则需方有权不用。</w:t>
      </w:r>
    </w:p>
    <w:p w14:paraId="27B4D079">
      <w:pPr>
        <w:spacing w:line="360" w:lineRule="auto"/>
        <w:ind w:firstLine="420" w:firstLineChars="200"/>
        <w:rPr>
          <w:rFonts w:ascii="宋体" w:hAnsi="宋体"/>
          <w:szCs w:val="21"/>
        </w:rPr>
      </w:pPr>
      <w:r>
        <w:rPr>
          <w:rFonts w:hint="eastAsia" w:ascii="宋体" w:hAnsi="宋体"/>
          <w:szCs w:val="21"/>
        </w:rPr>
        <w:t>1.3供应商在供应过程中，如果发生出现质量问题或造成食物中毒，如变质等情况，经查实后确属供方责任，供应商应承担全部责任，主要包括食物中毒人员医疗费、误工费、事故处理费等，直至追究刑事责任。</w:t>
      </w:r>
    </w:p>
    <w:p w14:paraId="49CFC82E">
      <w:pPr>
        <w:spacing w:line="360" w:lineRule="auto"/>
        <w:ind w:firstLine="420" w:firstLineChars="200"/>
        <w:rPr>
          <w:rFonts w:ascii="宋体" w:hAnsi="宋体"/>
          <w:szCs w:val="21"/>
        </w:rPr>
      </w:pPr>
      <w:r>
        <w:rPr>
          <w:rFonts w:hint="eastAsia" w:ascii="宋体" w:hAnsi="宋体"/>
          <w:szCs w:val="21"/>
        </w:rPr>
        <w:t>（2）干货类质量要求：</w:t>
      </w:r>
    </w:p>
    <w:p w14:paraId="7B2D4E7C">
      <w:pPr>
        <w:spacing w:line="360" w:lineRule="auto"/>
        <w:ind w:firstLine="420" w:firstLineChars="200"/>
        <w:rPr>
          <w:rFonts w:ascii="宋体" w:hAnsi="宋体"/>
          <w:szCs w:val="21"/>
        </w:rPr>
      </w:pPr>
      <w:r>
        <w:rPr>
          <w:rFonts w:hint="eastAsia" w:ascii="宋体" w:hAnsi="宋体"/>
          <w:szCs w:val="21"/>
        </w:rPr>
        <w:t>2.1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14:paraId="1FFCE55B">
      <w:pPr>
        <w:spacing w:line="360" w:lineRule="auto"/>
        <w:ind w:firstLine="420" w:firstLineChars="200"/>
        <w:rPr>
          <w:rFonts w:ascii="宋体" w:hAnsi="宋体"/>
          <w:szCs w:val="21"/>
        </w:rPr>
      </w:pPr>
      <w:r>
        <w:rPr>
          <w:rFonts w:hint="eastAsia" w:ascii="宋体" w:hAnsi="宋体"/>
          <w:szCs w:val="21"/>
        </w:rPr>
        <w:t>2.2几种主要干货制品的质量标准：</w:t>
      </w:r>
    </w:p>
    <w:p w14:paraId="1DA18FBA">
      <w:pPr>
        <w:spacing w:line="360" w:lineRule="auto"/>
        <w:ind w:firstLine="420" w:firstLineChars="200"/>
        <w:rPr>
          <w:rFonts w:ascii="宋体" w:hAnsi="宋体"/>
          <w:szCs w:val="21"/>
        </w:rPr>
      </w:pPr>
      <w:r>
        <w:rPr>
          <w:rFonts w:hint="eastAsia" w:ascii="宋体" w:hAnsi="宋体"/>
          <w:szCs w:val="21"/>
        </w:rPr>
        <w:t>2.2.1肉皮：作为干肉皮，无论什么部位，体表洁净无毛，白亮无残余肥膘，无虫蛀，干爽，敲击时响声清脆，质量均匀为好，反之则为次之，如已发霉，并有哈喇味，即已变质。</w:t>
      </w:r>
    </w:p>
    <w:p w14:paraId="145F0692">
      <w:pPr>
        <w:spacing w:line="360" w:lineRule="auto"/>
        <w:ind w:firstLine="420" w:firstLineChars="200"/>
        <w:rPr>
          <w:rFonts w:ascii="宋体" w:hAnsi="宋体"/>
          <w:szCs w:val="21"/>
        </w:rPr>
      </w:pPr>
      <w:r>
        <w:rPr>
          <w:rFonts w:hint="eastAsia" w:ascii="宋体" w:hAnsi="宋体"/>
          <w:szCs w:val="21"/>
        </w:rPr>
        <w:t>2.2.2玉兰片：玉兰片以色泽黄白、洁净、肉厚、纤维少、节较密、体长不超过10~17cm的为最好，肉薄节疏、纤维多而粗老的质量较差。</w:t>
      </w:r>
    </w:p>
    <w:p w14:paraId="33CDD824">
      <w:pPr>
        <w:spacing w:line="360" w:lineRule="auto"/>
        <w:ind w:firstLine="420" w:firstLineChars="200"/>
        <w:rPr>
          <w:rFonts w:ascii="宋体" w:hAnsi="宋体"/>
          <w:szCs w:val="21"/>
        </w:rPr>
      </w:pPr>
      <w:r>
        <w:rPr>
          <w:rFonts w:hint="eastAsia" w:ascii="宋体" w:hAnsi="宋体"/>
          <w:szCs w:val="21"/>
        </w:rPr>
        <w:t>2.2.3黄花菜：又名金针菜，干燥、有清香味，菜色黄亮、身条长而粗壮、条杆粗细均匀者为佳。</w:t>
      </w:r>
    </w:p>
    <w:p w14:paraId="04843A9C">
      <w:pPr>
        <w:spacing w:line="360" w:lineRule="auto"/>
        <w:ind w:firstLine="420" w:firstLineChars="200"/>
        <w:rPr>
          <w:rFonts w:ascii="宋体" w:hAnsi="宋体"/>
          <w:szCs w:val="21"/>
        </w:rPr>
      </w:pPr>
      <w:r>
        <w:rPr>
          <w:rFonts w:hint="eastAsia" w:ascii="宋体" w:hAnsi="宋体"/>
          <w:szCs w:val="21"/>
        </w:rPr>
        <w:t>2.2.4黑木耳：黑木耳的质量一般以条形大而完整，耳瓣舒展少卷曲，内厚黑，富于光泽，体干不霉，无杂质和碎者为优，反之则差。</w:t>
      </w:r>
    </w:p>
    <w:p w14:paraId="3062F27B">
      <w:pPr>
        <w:spacing w:line="360" w:lineRule="auto"/>
        <w:ind w:firstLine="420" w:firstLineChars="200"/>
        <w:rPr>
          <w:rFonts w:ascii="宋体" w:hAnsi="宋体"/>
          <w:szCs w:val="21"/>
        </w:rPr>
      </w:pPr>
      <w:r>
        <w:rPr>
          <w:rFonts w:hint="eastAsia" w:ascii="宋体" w:hAnsi="宋体"/>
          <w:szCs w:val="21"/>
        </w:rPr>
        <w:t>2.2.5银耳：银耳又称白木耳，以朵大、色洁白、有光泽、无杂质，根小、干度足，完整者为佳品，朵小、色黄、根大、无光泽，散碎者次之；黄黑色者质量最次，依上述标准可将银耳分为上中下三等。质量好的银耳，根部易稣烂，食之柔软，质量次则根部大而发硬。</w:t>
      </w:r>
    </w:p>
    <w:p w14:paraId="1C0478FC">
      <w:pPr>
        <w:spacing w:line="360" w:lineRule="auto"/>
        <w:ind w:firstLine="420" w:firstLineChars="200"/>
        <w:rPr>
          <w:rFonts w:ascii="宋体" w:hAnsi="宋体"/>
          <w:szCs w:val="21"/>
        </w:rPr>
      </w:pPr>
      <w:r>
        <w:rPr>
          <w:rFonts w:hint="eastAsia" w:ascii="宋体" w:hAnsi="宋体"/>
          <w:szCs w:val="21"/>
        </w:rPr>
        <w:t>2.2.6香菇：根据采收季节和形状不同，香菇又分为花菇、厚菇、薄菇和菇丁四类，其中以花菇质量最好，厚菇薄菇菇丁次之。</w:t>
      </w:r>
    </w:p>
    <w:p w14:paraId="175D03E6">
      <w:pPr>
        <w:spacing w:line="360" w:lineRule="auto"/>
        <w:ind w:firstLine="420" w:firstLineChars="200"/>
        <w:rPr>
          <w:rFonts w:ascii="宋体" w:hAnsi="宋体"/>
          <w:szCs w:val="21"/>
        </w:rPr>
      </w:pPr>
      <w:r>
        <w:rPr>
          <w:rFonts w:hint="eastAsia" w:ascii="宋体" w:hAnsi="宋体"/>
          <w:szCs w:val="21"/>
        </w:rPr>
        <w:t>A、花菇：朵小柄短，呈半球状，菇伞顶面有似菊花似的白色裂纹，肉厚、菌盖色泽淡黑，菇底褶，通过加工呈淡黄色，身干、质嫩、有芳香气味者为质好好香菇。</w:t>
      </w:r>
    </w:p>
    <w:p w14:paraId="7112EDBF">
      <w:pPr>
        <w:spacing w:line="360" w:lineRule="auto"/>
        <w:ind w:firstLine="420" w:firstLineChars="200"/>
        <w:rPr>
          <w:rFonts w:ascii="宋体" w:hAnsi="宋体"/>
          <w:szCs w:val="21"/>
        </w:rPr>
      </w:pPr>
      <w:r>
        <w:rPr>
          <w:rFonts w:hint="eastAsia" w:ascii="宋体" w:hAnsi="宋体"/>
          <w:szCs w:val="21"/>
        </w:rPr>
        <w:t>B、厚菇：形状如伞，顶面无花纹，呈黑色并略有光泽，质嫩、肉厚、朵稍大，质量稍次。</w:t>
      </w:r>
    </w:p>
    <w:p w14:paraId="00CEDE10">
      <w:pPr>
        <w:spacing w:line="360" w:lineRule="auto"/>
        <w:ind w:firstLine="420" w:firstLineChars="200"/>
        <w:rPr>
          <w:rFonts w:ascii="宋体" w:hAnsi="宋体"/>
          <w:szCs w:val="21"/>
        </w:rPr>
      </w:pPr>
      <w:r>
        <w:rPr>
          <w:rFonts w:hint="eastAsia" w:ascii="宋体" w:hAnsi="宋体"/>
          <w:szCs w:val="21"/>
        </w:rPr>
        <w:t>C、薄菇：形状扁平、开伞、朵大、肉薄、菌盖表面浅褐色，菌褐白色，菌柄稍高，浅咖啡色，基部稍带红色或红褐色，质量比花菇厚，菇差，味淡。</w:t>
      </w:r>
    </w:p>
    <w:p w14:paraId="1001E8A7">
      <w:pPr>
        <w:spacing w:line="360" w:lineRule="auto"/>
        <w:ind w:firstLine="420" w:firstLineChars="200"/>
        <w:rPr>
          <w:rFonts w:ascii="宋体" w:hAnsi="宋体"/>
          <w:szCs w:val="21"/>
        </w:rPr>
      </w:pPr>
      <w:r>
        <w:rPr>
          <w:rFonts w:hint="eastAsia" w:ascii="宋体" w:hAnsi="宋体"/>
          <w:szCs w:val="21"/>
        </w:rPr>
        <w:t>D、菇丁：是指未充分发育的香菇，个小，直径在2cm以下，味淡质差。</w:t>
      </w:r>
    </w:p>
    <w:p w14:paraId="445C7297">
      <w:pPr>
        <w:spacing w:line="360" w:lineRule="auto"/>
        <w:ind w:firstLine="420" w:firstLineChars="200"/>
        <w:rPr>
          <w:rFonts w:ascii="宋体" w:hAnsi="宋体"/>
          <w:szCs w:val="21"/>
        </w:rPr>
      </w:pPr>
      <w:r>
        <w:rPr>
          <w:rFonts w:hint="eastAsia" w:ascii="宋体" w:hAnsi="宋体"/>
          <w:szCs w:val="21"/>
        </w:rPr>
        <w:t>2.2.7腐竹：腐竹又名豆腐皮和油皮，有一、二、三级品之分。一极品：色泽黄亮、干燥筋韧、耐贮、无碎块。二极品：颜色较一极品灰黄、干燥无碎块。三极品：颜色更灰黄、无光泽、易碎、筋韧性差。</w:t>
      </w:r>
    </w:p>
    <w:p w14:paraId="23C6E952">
      <w:pPr>
        <w:spacing w:line="360" w:lineRule="auto"/>
        <w:ind w:firstLine="420" w:firstLineChars="200"/>
        <w:rPr>
          <w:rFonts w:ascii="宋体" w:hAnsi="宋体"/>
          <w:szCs w:val="21"/>
        </w:rPr>
      </w:pPr>
      <w:r>
        <w:rPr>
          <w:rFonts w:hint="eastAsia" w:ascii="宋体" w:hAnsi="宋体"/>
          <w:szCs w:val="21"/>
        </w:rPr>
        <w:t>2.2.8粉丝：质量好的粉丝，粉条细长、白净、晶莹透明、丝条均匀、整齐、干燥，不易折断，无斑点、黑迹，无霉变，有粉丝特有的光泽。</w:t>
      </w:r>
    </w:p>
    <w:p w14:paraId="5F4481DA">
      <w:pPr>
        <w:spacing w:line="360" w:lineRule="auto"/>
        <w:ind w:firstLine="420" w:firstLineChars="200"/>
        <w:rPr>
          <w:rFonts w:ascii="宋体" w:hAnsi="宋体"/>
          <w:szCs w:val="21"/>
        </w:rPr>
      </w:pPr>
      <w:r>
        <w:rPr>
          <w:rFonts w:hint="eastAsia" w:ascii="宋体" w:hAnsi="宋体"/>
          <w:szCs w:val="21"/>
        </w:rPr>
        <w:t>2.2.9蹄筋：猪蹄筋的质量首先从蹄筋抽取的部位区别，后蹄筋体长而圆、粗状、光滑的品质好。前蹄筋体短而扁细、品质较差、保管完好的蹄筋应呈白色、无杂质，干、硬度高。</w:t>
      </w:r>
    </w:p>
    <w:p w14:paraId="5AC9FF79">
      <w:pPr>
        <w:spacing w:line="360" w:lineRule="auto"/>
        <w:ind w:firstLine="420" w:firstLineChars="200"/>
        <w:rPr>
          <w:rFonts w:ascii="宋体" w:hAnsi="宋体"/>
          <w:szCs w:val="21"/>
        </w:rPr>
      </w:pPr>
      <w:r>
        <w:rPr>
          <w:rFonts w:hint="eastAsia" w:ascii="宋体" w:hAnsi="宋体"/>
          <w:szCs w:val="21"/>
        </w:rPr>
        <w:t>2.2.10干贝：上等干贝粒大完整、黄亮干燥、肉质饱满，肉丝清晰、粗且有特殊香气。粒小、碎破、色淡无光泽者较次。破碎、发黑发霉的为变质品。</w:t>
      </w:r>
    </w:p>
    <w:p w14:paraId="08ED734A">
      <w:pPr>
        <w:spacing w:line="360" w:lineRule="auto"/>
        <w:ind w:firstLine="420" w:firstLineChars="200"/>
        <w:rPr>
          <w:rFonts w:ascii="宋体" w:hAnsi="宋体"/>
          <w:szCs w:val="21"/>
        </w:rPr>
      </w:pPr>
      <w:r>
        <w:rPr>
          <w:rFonts w:hint="eastAsia" w:ascii="宋体" w:hAnsi="宋体"/>
          <w:szCs w:val="21"/>
        </w:rPr>
        <w:t>2.2.11鱿鱼：市场上常见的鱿鱼有椭圆形和长方形，选购时应注意：体干、体形完整、光亮洁净、淡粉红色、片大头小、肉厚者为优。体形部分卷曲，尾部和背部红中透暗，两侧有微红点、体小而宽、肉薄者为次品。</w:t>
      </w:r>
    </w:p>
    <w:p w14:paraId="4922320B">
      <w:pPr>
        <w:spacing w:line="360" w:lineRule="auto"/>
        <w:ind w:firstLine="420" w:firstLineChars="200"/>
        <w:rPr>
          <w:rFonts w:ascii="宋体" w:hAnsi="宋体"/>
          <w:szCs w:val="21"/>
        </w:rPr>
      </w:pPr>
      <w:r>
        <w:rPr>
          <w:rFonts w:hint="eastAsia" w:ascii="宋体" w:hAnsi="宋体"/>
          <w:szCs w:val="21"/>
        </w:rPr>
        <w:t>2.2.12海蛰：海蛰是由水母加工制成，选购时应注意色泽，以乳白色或淡黄色、气味清新、质厚均匀、个体完整、块大、无血黑（体肉红皮）有光泽的为上品，带有膜状血衣的为次品。</w:t>
      </w:r>
    </w:p>
    <w:p w14:paraId="7452DBB0">
      <w:pPr>
        <w:spacing w:line="360" w:lineRule="auto"/>
        <w:ind w:firstLine="420" w:firstLineChars="200"/>
        <w:rPr>
          <w:rFonts w:ascii="宋体" w:hAnsi="宋体"/>
          <w:szCs w:val="21"/>
        </w:rPr>
      </w:pPr>
      <w:r>
        <w:rPr>
          <w:rFonts w:hint="eastAsia" w:ascii="宋体" w:hAnsi="宋体"/>
          <w:szCs w:val="21"/>
        </w:rPr>
        <w:t>2.2.13紫菜：属海产红藻类植物，因鲜紫菜叶较宽大，经干制成长方块形，散片状卷筒，其中以卷筒形柔嫩微脆、叶薄、色紫清香鲜美的为品质优。</w:t>
      </w:r>
    </w:p>
    <w:p w14:paraId="59BCAF91">
      <w:pPr>
        <w:spacing w:line="360" w:lineRule="auto"/>
        <w:ind w:firstLine="420" w:firstLineChars="200"/>
        <w:rPr>
          <w:rFonts w:ascii="宋体" w:hAnsi="宋体"/>
          <w:szCs w:val="21"/>
        </w:rPr>
      </w:pPr>
      <w:r>
        <w:rPr>
          <w:rFonts w:hint="eastAsia" w:ascii="宋体" w:hAnsi="宋体"/>
          <w:szCs w:val="21"/>
        </w:rPr>
        <w:t>2.2.14发菜：发菜是陆生褐色藻类，以藻体细长、绿黑色、柔软爽滑、干燥、无杂质的质量为优，反之则劣。</w:t>
      </w:r>
    </w:p>
    <w:p w14:paraId="699F5838">
      <w:pPr>
        <w:spacing w:line="360" w:lineRule="auto"/>
        <w:ind w:firstLine="422" w:firstLineChars="200"/>
        <w:rPr>
          <w:rFonts w:ascii="宋体" w:hAnsi="宋体"/>
          <w:b/>
          <w:bCs/>
          <w:szCs w:val="21"/>
        </w:rPr>
      </w:pPr>
      <w:r>
        <w:rPr>
          <w:rFonts w:hint="eastAsia" w:ascii="宋体" w:hAnsi="宋体"/>
          <w:b/>
          <w:bCs/>
          <w:szCs w:val="21"/>
        </w:rPr>
        <w:t>4.日用品类</w:t>
      </w:r>
    </w:p>
    <w:p w14:paraId="6865C415">
      <w:pPr>
        <w:tabs>
          <w:tab w:val="right" w:pos="8280"/>
        </w:tabs>
        <w:spacing w:line="360" w:lineRule="auto"/>
        <w:ind w:firstLine="420" w:firstLineChars="200"/>
        <w:rPr>
          <w:rFonts w:ascii="宋体" w:hAnsi="宋体"/>
          <w:szCs w:val="21"/>
        </w:rPr>
      </w:pPr>
      <w:r>
        <w:rPr>
          <w:rFonts w:hint="eastAsia" w:ascii="宋体" w:hAnsi="宋体"/>
          <w:szCs w:val="21"/>
        </w:rPr>
        <w:t>（1）不锈钢厨具的外观</w:t>
      </w:r>
    </w:p>
    <w:p w14:paraId="1BBF54BF">
      <w:pPr>
        <w:tabs>
          <w:tab w:val="right" w:pos="8280"/>
        </w:tabs>
        <w:spacing w:line="360" w:lineRule="auto"/>
        <w:ind w:firstLine="420" w:firstLineChars="200"/>
        <w:rPr>
          <w:rFonts w:ascii="宋体" w:hAnsi="宋体"/>
          <w:szCs w:val="21"/>
        </w:rPr>
      </w:pPr>
      <w:r>
        <w:rPr>
          <w:rFonts w:hint="eastAsia" w:ascii="宋体" w:hAnsi="宋体"/>
          <w:szCs w:val="21"/>
        </w:rPr>
        <w:t>表面无划伤，焊接接头光滑无缺陷，无毛边。</w:t>
      </w:r>
    </w:p>
    <w:p w14:paraId="0D11E751">
      <w:pPr>
        <w:tabs>
          <w:tab w:val="right" w:pos="8280"/>
        </w:tabs>
        <w:spacing w:line="360" w:lineRule="auto"/>
        <w:ind w:firstLine="420" w:firstLineChars="200"/>
        <w:rPr>
          <w:rFonts w:ascii="宋体" w:hAnsi="宋体"/>
          <w:szCs w:val="21"/>
        </w:rPr>
      </w:pPr>
      <w:r>
        <w:rPr>
          <w:rFonts w:hint="eastAsia" w:ascii="宋体" w:hAnsi="宋体"/>
          <w:szCs w:val="21"/>
        </w:rPr>
        <w:t>（2）洗洁精、洗涤用品的验收标准</w:t>
      </w:r>
    </w:p>
    <w:p w14:paraId="4AC8601A">
      <w:pPr>
        <w:tabs>
          <w:tab w:val="right" w:pos="8280"/>
        </w:tabs>
        <w:spacing w:line="360" w:lineRule="auto"/>
        <w:ind w:firstLine="420" w:firstLineChars="200"/>
        <w:rPr>
          <w:rFonts w:ascii="宋体" w:hAnsi="宋体"/>
          <w:szCs w:val="21"/>
        </w:rPr>
      </w:pPr>
      <w:r>
        <w:rPr>
          <w:rFonts w:hint="eastAsia" w:ascii="宋体" w:hAnsi="宋体"/>
          <w:szCs w:val="21"/>
        </w:rPr>
        <w:t>每瓶（桶）洗涤剂应附产品标签，标签上注明生产厂家的厂名地址、产品名称、生产日期、净含量、依据标准、使用方法，且附产品合格证。</w:t>
      </w:r>
    </w:p>
    <w:p w14:paraId="74A018B7">
      <w:pPr>
        <w:tabs>
          <w:tab w:val="right" w:pos="8280"/>
        </w:tabs>
        <w:spacing w:line="360" w:lineRule="auto"/>
        <w:ind w:firstLine="420" w:firstLineChars="200"/>
        <w:rPr>
          <w:rFonts w:ascii="宋体" w:hAnsi="宋体"/>
          <w:szCs w:val="21"/>
        </w:rPr>
      </w:pPr>
      <w:r>
        <w:rPr>
          <w:rFonts w:hint="eastAsia" w:ascii="宋体" w:hAnsi="宋体"/>
          <w:szCs w:val="21"/>
        </w:rPr>
        <w:t>（3）卫生纸</w:t>
      </w:r>
    </w:p>
    <w:p w14:paraId="5F62D172">
      <w:pPr>
        <w:tabs>
          <w:tab w:val="right" w:pos="8280"/>
        </w:tabs>
        <w:spacing w:line="360" w:lineRule="auto"/>
        <w:ind w:firstLine="420" w:firstLineChars="200"/>
        <w:rPr>
          <w:rFonts w:ascii="宋体" w:hAnsi="宋体"/>
          <w:szCs w:val="21"/>
        </w:rPr>
      </w:pPr>
      <w:r>
        <w:rPr>
          <w:rFonts w:hint="eastAsia" w:ascii="宋体" w:hAnsi="宋体"/>
          <w:szCs w:val="21"/>
        </w:rPr>
        <w:t>产品以批为单位进行检验,以同一品种、同一规格、一次交货的数量为一批。出现重量短缺由仓库记录实际情况，结果反馈给采购人处理。卫生纸拉断力、白度、pH值、交货水份、卫生指标项目若出现不合格则判为该批不合格。</w:t>
      </w:r>
    </w:p>
    <w:p w14:paraId="65C145E3">
      <w:pPr>
        <w:tabs>
          <w:tab w:val="right" w:pos="8280"/>
        </w:tabs>
        <w:spacing w:line="360" w:lineRule="auto"/>
        <w:ind w:firstLine="420" w:firstLineChars="200"/>
        <w:rPr>
          <w:rFonts w:ascii="宋体" w:hAnsi="宋体"/>
          <w:szCs w:val="21"/>
        </w:rPr>
      </w:pPr>
      <w:r>
        <w:rPr>
          <w:rFonts w:hint="eastAsia" w:ascii="宋体" w:hAnsi="宋体"/>
          <w:szCs w:val="21"/>
        </w:rPr>
        <w:t>（4）餐盒验收标准</w:t>
      </w:r>
    </w:p>
    <w:p w14:paraId="4A859D71">
      <w:pPr>
        <w:tabs>
          <w:tab w:val="right" w:pos="8280"/>
        </w:tabs>
        <w:spacing w:line="360" w:lineRule="auto"/>
        <w:ind w:firstLine="420" w:firstLineChars="200"/>
        <w:rPr>
          <w:rFonts w:ascii="宋体" w:hAnsi="宋体"/>
          <w:szCs w:val="21"/>
        </w:rPr>
      </w:pPr>
      <w:r>
        <w:rPr>
          <w:rFonts w:hint="eastAsia" w:ascii="宋体" w:hAnsi="宋体"/>
          <w:szCs w:val="21"/>
        </w:rPr>
        <w:t>一次性餐饮具耐热水试验后,不应变形、起皮、起皱；盛装液体功能的盒、碗、杯等一次性餐饮具,试验后不应漏水；一次性餐盒、碗、杯等餐饮具,其负重前后高度变化应不大于5%；微波炉试验应无变形、缺陷、渗漏和异常等。</w:t>
      </w:r>
    </w:p>
    <w:p w14:paraId="47AD033C">
      <w:pPr>
        <w:spacing w:line="360" w:lineRule="auto"/>
        <w:ind w:firstLine="422" w:firstLineChars="200"/>
        <w:rPr>
          <w:rFonts w:ascii="宋体" w:hAnsi="宋体"/>
          <w:b/>
          <w:bCs/>
          <w:szCs w:val="21"/>
        </w:rPr>
      </w:pPr>
      <w:r>
        <w:rPr>
          <w:rFonts w:hint="eastAsia" w:ascii="宋体" w:hAnsi="宋体"/>
          <w:b/>
          <w:bCs/>
          <w:szCs w:val="21"/>
        </w:rPr>
        <w:t>5.其他类</w:t>
      </w:r>
    </w:p>
    <w:p w14:paraId="03306B5C">
      <w:pPr>
        <w:spacing w:line="360" w:lineRule="auto"/>
        <w:ind w:firstLine="420" w:firstLineChars="200"/>
        <w:rPr>
          <w:rFonts w:ascii="宋体" w:hAnsi="宋体"/>
          <w:szCs w:val="21"/>
        </w:rPr>
      </w:pPr>
      <w:r>
        <w:rPr>
          <w:rFonts w:hint="eastAsia" w:ascii="宋体" w:hAnsi="宋体"/>
          <w:szCs w:val="21"/>
        </w:rPr>
        <w:t>供应产品质量要求：</w:t>
      </w:r>
    </w:p>
    <w:p w14:paraId="0B5C8413">
      <w:pPr>
        <w:spacing w:line="360" w:lineRule="auto"/>
        <w:ind w:firstLine="420" w:firstLineChars="200"/>
        <w:rPr>
          <w:rFonts w:ascii="宋体" w:hAnsi="宋体"/>
          <w:szCs w:val="21"/>
        </w:rPr>
      </w:pPr>
      <w:r>
        <w:rPr>
          <w:rFonts w:hint="eastAsia" w:ascii="宋体" w:hAnsi="宋体"/>
          <w:szCs w:val="21"/>
        </w:rPr>
        <w:t>1.1成品粮（大米、小麦粉或面粉）的食品安全指标应符合国家标准的规定。其中：大米须当年出产，正规厂家出品，提供符合国家级质量认证和商标及地址、电话、在保质期内。大米的质量指标符合食品安全国家标准及产品标签明示执行标准的要求。除此之外，还应符合大米《GB/T 1354-2018》普通大米二级（含）或优质大米二级（含）以上的要求，应提供含重金属指标（镉、铅）的产品检验合格证明；小麦粉（面粉）的质量指标符合食品安全国家标准及产品标签明示执行标准的要求，其中通用小麦粉质量等级应达到或超过国家标准GB/T 1355中质量等级为“特制二等”的要求（2023年1月1日起生产的小麦粉应达到GB/T 1355-2021“标准粉”及以上的要求）。</w:t>
      </w:r>
    </w:p>
    <w:p w14:paraId="59787D2B">
      <w:pPr>
        <w:spacing w:line="360" w:lineRule="auto"/>
        <w:ind w:firstLine="420" w:firstLineChars="200"/>
        <w:rPr>
          <w:rFonts w:ascii="宋体" w:hAnsi="宋体"/>
          <w:szCs w:val="21"/>
        </w:rPr>
      </w:pPr>
      <w:r>
        <w:rPr>
          <w:rFonts w:hint="eastAsia" w:ascii="宋体" w:hAnsi="宋体"/>
          <w:szCs w:val="21"/>
        </w:rPr>
        <w:t>1.2成品食用油应为预包装食用植物油；建议使用非转基因植物油；食用油的食品安全指标应符合国家标准的规定。其中：大豆油应按大豆油《GB/T 1535-2017》的要求选择一级或二级的大豆油；玉米油的质量指标不低于玉米油《GB/T 19111-2017》的二级成品玉米油的技术要求；菜籽油的质量指标不低于菜籽油 《GB/T 1536-2021》的二级压榨成品菜籽油的技术要求；花生油的质量指标不低于花生油《GB/T 1534-2017》的二级压榨成品花生油或二级浸出成品花生油的技术要求；米糠油质量不低于米糠油《GB/T 19112-2003》二级的要求；调和油标签或附带说明书应明确列出调和油的原料或配比。来源于正规粮油公司。并提供贴有卫生许可验证和商标及地址、电话、保质期内食用产品。</w:t>
      </w:r>
    </w:p>
    <w:p w14:paraId="3223ADD6">
      <w:pPr>
        <w:spacing w:line="360" w:lineRule="auto"/>
        <w:ind w:firstLine="420" w:firstLineChars="200"/>
        <w:rPr>
          <w:rFonts w:ascii="宋体" w:hAnsi="宋体"/>
          <w:szCs w:val="21"/>
        </w:rPr>
      </w:pPr>
      <w:r>
        <w:rPr>
          <w:rFonts w:hint="eastAsia" w:ascii="宋体" w:hAnsi="宋体"/>
          <w:szCs w:val="21"/>
        </w:rPr>
        <w:t>1.3乳制品以生牛乳为主要原料加工，不得使用、不得添加复原乳及营养强化剂，符合食品安全国家标准及产品标签明示执行标准的要求：乳制品（仅限发酵乳、巴氏杀菌乳、灭菌乳、调制乳）的食品安全指标应分别符合国家标准的规定。饮用奶、纯牛奶、灭菌调制奶的食品安全指标应分别符合国家标准的规定。</w:t>
      </w:r>
    </w:p>
    <w:p w14:paraId="5F058D33">
      <w:pPr>
        <w:spacing w:line="360" w:lineRule="auto"/>
        <w:ind w:firstLine="420" w:firstLineChars="200"/>
        <w:rPr>
          <w:rFonts w:ascii="宋体" w:hAnsi="宋体"/>
          <w:szCs w:val="21"/>
        </w:rPr>
      </w:pPr>
      <w:r>
        <w:rPr>
          <w:rFonts w:hint="eastAsia" w:ascii="宋体" w:hAnsi="宋体"/>
          <w:szCs w:val="21"/>
        </w:rPr>
        <w:t>1.4蛋类：蛋类由正规大型厂家出品，新鲜无污染。并提供贴有卫生许可验证和商标及地址、电话、在保质期内的产品。鲜蛋的食品安全指标应符合食品安全国家标准的规定及产品标签明示执行标准的要求。产品标签内容清晰，明确标注产品的品名、商标、生产日期、保质期、产地、储存条件等相关信息，并与供（送）货单内容一致；包装应采用符合国家卫生标准要求的包装材料。</w:t>
      </w:r>
    </w:p>
    <w:p w14:paraId="31C3BF19">
      <w:pPr>
        <w:spacing w:line="360" w:lineRule="auto"/>
        <w:ind w:firstLine="420" w:firstLineChars="200"/>
        <w:rPr>
          <w:rFonts w:ascii="宋体" w:hAnsi="宋体"/>
          <w:szCs w:val="21"/>
        </w:rPr>
      </w:pPr>
      <w:r>
        <w:rPr>
          <w:rFonts w:hint="eastAsia" w:ascii="宋体" w:hAnsi="宋体"/>
          <w:szCs w:val="21"/>
        </w:rPr>
        <w:t>1.5调料：由正规厂家生产，杜绝假冒伪劣商品，所提供的必须是正规厂家生产的名牌信得过产品。并提供贴有卫生许可验收和商标及地址、电话、保质期内食用产品。调味品应为预包装产品，符合产品明示执行标准、明示指标及食品安全国家标准的要求，随货有该批次产品质量检测合格证、包装完好无损、标签内容清晰明确。其中：食盐的质量指标应符合国家标准的要求；酱油的质量指标应符合国家标准的要求，质量指标不低于酿造酱油《GB/T 18186-2000》的二级酱油技术要求，特征指标（氨基酸态氮）≥0.7g/100 mL；食醋的质量指标应符合国家标准的要求，特征指标（总酸）≥3.5g/100mL；香辛料符合该产品应有的形态和特征，颜色、气味正常，无杂物，无发霉、结块等异常状况。</w:t>
      </w:r>
    </w:p>
    <w:p w14:paraId="1EEFA129">
      <w:pPr>
        <w:spacing w:line="360" w:lineRule="auto"/>
        <w:ind w:firstLine="420" w:firstLineChars="200"/>
        <w:rPr>
          <w:rFonts w:ascii="宋体" w:hAnsi="宋体"/>
          <w:szCs w:val="21"/>
        </w:rPr>
      </w:pPr>
      <w:r>
        <w:rPr>
          <w:rFonts w:hint="eastAsia" w:ascii="宋体" w:hAnsi="宋体"/>
          <w:szCs w:val="21"/>
        </w:rPr>
        <w:t>1.6水果类：必须保证形体饱满、色泽鲜嫩、无腐烂、无变质、无泥水、无农药超标等情况。</w:t>
      </w:r>
    </w:p>
    <w:p w14:paraId="292A2CFB">
      <w:pPr>
        <w:spacing w:line="360" w:lineRule="auto"/>
        <w:ind w:firstLine="420" w:firstLineChars="200"/>
        <w:rPr>
          <w:rFonts w:ascii="宋体" w:hAnsi="宋体"/>
          <w:szCs w:val="21"/>
        </w:rPr>
      </w:pPr>
      <w:r>
        <w:rPr>
          <w:rFonts w:hint="eastAsia" w:ascii="宋体" w:hAnsi="宋体"/>
          <w:szCs w:val="21"/>
        </w:rPr>
        <w:t>1.7河粉、豆制品类来源于正规食品公司出品的货物及不得超过保质期。</w:t>
      </w:r>
    </w:p>
    <w:p w14:paraId="58A78149">
      <w:pPr>
        <w:spacing w:line="360" w:lineRule="auto"/>
        <w:ind w:firstLine="420" w:firstLineChars="200"/>
        <w:rPr>
          <w:rFonts w:ascii="宋体" w:hAnsi="宋体"/>
          <w:szCs w:val="21"/>
        </w:rPr>
      </w:pPr>
      <w:r>
        <w:rPr>
          <w:rFonts w:hint="eastAsia" w:ascii="宋体" w:hAnsi="宋体"/>
          <w:szCs w:val="21"/>
        </w:rPr>
        <w:t>1.8包装容器和材料应符合相应的标准和有关规定。若采用定型包装，标识要求应符合GB7718-2011的规定。</w:t>
      </w:r>
    </w:p>
    <w:p w14:paraId="77EC0F3D">
      <w:pPr>
        <w:spacing w:line="360" w:lineRule="auto"/>
        <w:ind w:firstLine="420" w:firstLineChars="200"/>
        <w:rPr>
          <w:rFonts w:ascii="宋体" w:hAnsi="宋体"/>
          <w:szCs w:val="21"/>
        </w:rPr>
      </w:pPr>
      <w:r>
        <w:rPr>
          <w:rFonts w:hint="eastAsia" w:ascii="宋体" w:hAnsi="宋体"/>
          <w:szCs w:val="21"/>
        </w:rPr>
        <w:t>1.9以上所有产品必须符合国家的相关标准与要求，不得提供转基因食品或利用转基因食品原料加工的成品，国家有出台新的更高标准的，以新的更高标准为准。</w:t>
      </w:r>
    </w:p>
    <w:p w14:paraId="580965A0">
      <w:pPr>
        <w:spacing w:line="360" w:lineRule="auto"/>
        <w:ind w:firstLine="422" w:firstLineChars="200"/>
        <w:rPr>
          <w:rFonts w:ascii="宋体" w:hAnsi="宋体"/>
          <w:b/>
          <w:bCs/>
          <w:szCs w:val="21"/>
        </w:rPr>
      </w:pPr>
      <w:r>
        <w:rPr>
          <w:rFonts w:hint="eastAsia" w:ascii="宋体" w:hAnsi="宋体"/>
          <w:b/>
          <w:bCs/>
          <w:szCs w:val="21"/>
        </w:rPr>
        <w:t>（三）供应商管理要求</w:t>
      </w:r>
    </w:p>
    <w:p w14:paraId="275AE594">
      <w:pPr>
        <w:spacing w:line="360" w:lineRule="auto"/>
        <w:ind w:firstLine="420" w:firstLineChars="200"/>
        <w:rPr>
          <w:rFonts w:ascii="宋体" w:hAnsi="宋体"/>
          <w:szCs w:val="21"/>
        </w:rPr>
      </w:pPr>
      <w:r>
        <w:rPr>
          <w:rFonts w:hint="eastAsia" w:ascii="宋体" w:hAnsi="宋体"/>
          <w:szCs w:val="21"/>
        </w:rPr>
        <w:t>1.供应商必须依据国家有关法律法规要求建立健全各项管理制度，保证食品安全，有明确的食品安全责任人。因所供货物质量原因导致所内发生食品安全事故，除解除合同外，供应商还需赔偿采购人救治经费及误工损失。</w:t>
      </w:r>
    </w:p>
    <w:p w14:paraId="779CD184">
      <w:pPr>
        <w:spacing w:line="360" w:lineRule="auto"/>
        <w:ind w:firstLine="420" w:firstLineChars="200"/>
        <w:rPr>
          <w:rFonts w:ascii="宋体" w:hAnsi="宋体"/>
          <w:szCs w:val="21"/>
        </w:rPr>
      </w:pPr>
      <w:r>
        <w:rPr>
          <w:rFonts w:hint="eastAsia" w:ascii="宋体" w:hAnsi="宋体"/>
          <w:szCs w:val="21"/>
        </w:rPr>
        <w:t>2.供应商应做好本单位工作人员的教育工作，遵守采购人出入门岗和物品携带等各项规定。</w:t>
      </w:r>
    </w:p>
    <w:p w14:paraId="10B1CEAF">
      <w:pPr>
        <w:spacing w:line="360" w:lineRule="auto"/>
        <w:ind w:firstLine="420" w:firstLineChars="200"/>
        <w:rPr>
          <w:rFonts w:ascii="宋体" w:hAnsi="宋体"/>
          <w:szCs w:val="21"/>
        </w:rPr>
      </w:pPr>
      <w:r>
        <w:rPr>
          <w:rFonts w:hint="eastAsia" w:ascii="宋体" w:hAnsi="宋体"/>
          <w:szCs w:val="21"/>
        </w:rPr>
        <w:t>3.按合同约定的标的供货，供应商不得转包、分包，否则采购人有权单方面终止合同，项目另行处理，供应商承担由此造成的经济损失。</w:t>
      </w:r>
    </w:p>
    <w:p w14:paraId="7D6D3556">
      <w:pPr>
        <w:spacing w:line="360" w:lineRule="auto"/>
        <w:ind w:firstLine="420" w:firstLineChars="200"/>
        <w:rPr>
          <w:rFonts w:ascii="宋体" w:hAnsi="宋体"/>
          <w:szCs w:val="21"/>
        </w:rPr>
      </w:pPr>
      <w:r>
        <w:rPr>
          <w:rFonts w:hint="eastAsia" w:ascii="宋体" w:hAnsi="宋体"/>
          <w:szCs w:val="21"/>
        </w:rPr>
        <w:t>4.供应商应严格按招标要求（含品种、质量等）供应，不得擅自变更采购人指定采购产品，否则，采购人有权退货。应严格按招标单位要求（含名称、产地、规格和重量等）供应，否则，采购人有权拒收。若因特殊情况（如商家停产或天气因素等）确实需要变更的个别商品，经采购人同意，必须以质量较高的同类商品代替。</w:t>
      </w:r>
    </w:p>
    <w:p w14:paraId="21A50A06">
      <w:pPr>
        <w:spacing w:line="360" w:lineRule="auto"/>
        <w:ind w:firstLine="422" w:firstLineChars="200"/>
        <w:rPr>
          <w:rFonts w:ascii="宋体" w:hAnsi="宋体"/>
          <w:b/>
          <w:bCs/>
          <w:color w:val="FF0000"/>
          <w:szCs w:val="21"/>
        </w:rPr>
      </w:pPr>
      <w:r>
        <w:rPr>
          <w:rFonts w:hint="eastAsia" w:ascii="宋体" w:hAnsi="宋体"/>
          <w:b/>
          <w:bCs/>
          <w:highlight w:val="yellow"/>
        </w:rPr>
        <w:t>★5.供应商承诺中标后明确各类食品产品的质量安全责任人，且该人员须在供应商单位购买社保</w:t>
      </w:r>
      <w:r>
        <w:rPr>
          <w:rFonts w:hint="eastAsia" w:ascii="宋体" w:hAnsi="宋体"/>
          <w:b/>
          <w:bCs/>
          <w:color w:val="FF0000"/>
          <w:highlight w:val="yellow"/>
        </w:rPr>
        <w:t>【提供承诺书（格式自拟）作为响应依据，未提供的视为负偏离，按投标无效处理】</w:t>
      </w:r>
      <w:r>
        <w:rPr>
          <w:rFonts w:hint="eastAsia" w:ascii="宋体" w:hAnsi="宋体"/>
          <w:b/>
          <w:bCs/>
          <w:highlight w:val="yellow"/>
        </w:rPr>
        <w:t>。</w:t>
      </w:r>
    </w:p>
    <w:p w14:paraId="29E0F15B">
      <w:pPr>
        <w:spacing w:line="360" w:lineRule="auto"/>
        <w:ind w:firstLine="420" w:firstLineChars="200"/>
        <w:rPr>
          <w:rFonts w:ascii="宋体" w:hAnsi="宋体"/>
          <w:szCs w:val="21"/>
        </w:rPr>
      </w:pPr>
      <w:r>
        <w:rPr>
          <w:rFonts w:hint="eastAsia" w:ascii="宋体" w:hAnsi="宋体"/>
          <w:szCs w:val="21"/>
        </w:rPr>
        <w:t>6.供应商除不可抗力，不得因其他任何理由延迟送货。采购人如遇特殊情况需推迟送货，应提前通知供应商。因供应商原因延误交货日期的（采购人要求推迟的除外），采购人有权自行采购，并由供应商承担由此产生的一切损失和费用。</w:t>
      </w:r>
    </w:p>
    <w:p w14:paraId="629DCB8A">
      <w:pPr>
        <w:spacing w:line="360" w:lineRule="auto"/>
        <w:ind w:firstLine="420" w:firstLineChars="200"/>
        <w:rPr>
          <w:rFonts w:ascii="宋体" w:hAnsi="宋体"/>
          <w:szCs w:val="21"/>
        </w:rPr>
      </w:pPr>
      <w:r>
        <w:rPr>
          <w:rFonts w:hint="eastAsia" w:ascii="宋体" w:hAnsi="宋体"/>
          <w:szCs w:val="21"/>
        </w:rPr>
        <w:t>7.采购人对货物进行验收，对不符合规格要求的商品，供应商必须无条件退货，采购人的验收工作并不当然免除供应商应承担食品的质量保证责任。供应商未能履行招标文件和合同所定事项，或供应不合格的、假冒伪劣、以次充好的商品，采购人退货后将记录在案，并对供应商予以处罚，除要承担因此产生的一切损失和费用外，情节严重的可取消其供应资格。</w:t>
      </w:r>
    </w:p>
    <w:p w14:paraId="0B96036C">
      <w:pPr>
        <w:spacing w:line="360" w:lineRule="auto"/>
        <w:ind w:firstLine="420" w:firstLineChars="200"/>
        <w:rPr>
          <w:rFonts w:ascii="宋体" w:hAnsi="宋体"/>
          <w:szCs w:val="21"/>
        </w:rPr>
      </w:pPr>
      <w:r>
        <w:rPr>
          <w:rFonts w:hint="eastAsia" w:ascii="宋体" w:hAnsi="宋体"/>
          <w:szCs w:val="21"/>
        </w:rPr>
        <w:t>8.供应商须开具国家认可的正式发票（含餐饮发票）。</w:t>
      </w:r>
    </w:p>
    <w:p w14:paraId="6AF5C1F6">
      <w:pPr>
        <w:spacing w:line="360" w:lineRule="auto"/>
        <w:ind w:firstLine="420" w:firstLineChars="200"/>
        <w:rPr>
          <w:rFonts w:ascii="宋体" w:hAnsi="宋体"/>
          <w:szCs w:val="21"/>
        </w:rPr>
      </w:pPr>
      <w:r>
        <w:rPr>
          <w:rFonts w:hint="eastAsia" w:ascii="宋体" w:hAnsi="宋体"/>
          <w:szCs w:val="21"/>
        </w:rPr>
        <w:t>9.供应商退场管理</w:t>
      </w:r>
    </w:p>
    <w:p w14:paraId="507E0D4D">
      <w:pPr>
        <w:spacing w:line="360" w:lineRule="auto"/>
        <w:ind w:firstLine="420" w:firstLineChars="200"/>
        <w:rPr>
          <w:rFonts w:ascii="宋体" w:hAnsi="宋体"/>
          <w:szCs w:val="21"/>
        </w:rPr>
      </w:pPr>
      <w:r>
        <w:rPr>
          <w:rFonts w:hint="eastAsia" w:ascii="宋体" w:hAnsi="宋体"/>
          <w:szCs w:val="21"/>
        </w:rPr>
        <w:t>（1）供应商造成安全（监管和食品卫生）事故的直接取消中标供应资格退场。</w:t>
      </w:r>
    </w:p>
    <w:p w14:paraId="7BAF01C9">
      <w:pPr>
        <w:spacing w:line="36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食品溯源要求：对食品供应链进行明确，所有食品的来源必须清晰，尽量使用知名品牌，包装食品要有QS标志。食品生产企业必须获得工业产品生产许可证（QS）来源应当是受到地方政府部门监管的业流通市场或具有相关资质的厂家生产，生产食品的源头与供应商要有固定的合法的供应关系，严禁收购非标准产品供应。标书要求对食品的来源和质量标准要有详尽的描述，验收须按国家标准和感官标准。供应商应保存以下资料：</w:t>
      </w:r>
    </w:p>
    <w:p w14:paraId="11373200">
      <w:pPr>
        <w:spacing w:line="360" w:lineRule="auto"/>
        <w:ind w:firstLine="420" w:firstLineChars="200"/>
        <w:rPr>
          <w:rFonts w:ascii="宋体" w:hAnsi="宋体"/>
          <w:szCs w:val="21"/>
        </w:rPr>
      </w:pPr>
      <w:r>
        <w:rPr>
          <w:rFonts w:hint="eastAsia" w:ascii="宋体" w:hAnsi="宋体"/>
          <w:szCs w:val="21"/>
        </w:rPr>
        <w:t>3.1供应商与生产企业的销售合同；</w:t>
      </w:r>
    </w:p>
    <w:p w14:paraId="47BDB10A">
      <w:pPr>
        <w:spacing w:line="360" w:lineRule="auto"/>
        <w:ind w:firstLine="420" w:firstLineChars="200"/>
        <w:rPr>
          <w:rFonts w:ascii="宋体" w:hAnsi="宋体"/>
          <w:szCs w:val="21"/>
        </w:rPr>
      </w:pPr>
      <w:r>
        <w:rPr>
          <w:rFonts w:hint="eastAsia" w:ascii="宋体" w:hAnsi="宋体"/>
          <w:szCs w:val="21"/>
        </w:rPr>
        <w:t>3.2生产企业的送货单和销售发票；</w:t>
      </w:r>
    </w:p>
    <w:p w14:paraId="2682786D">
      <w:pPr>
        <w:spacing w:line="360" w:lineRule="auto"/>
        <w:ind w:firstLine="420" w:firstLineChars="200"/>
        <w:rPr>
          <w:rFonts w:ascii="宋体" w:hAnsi="宋体"/>
          <w:szCs w:val="21"/>
        </w:rPr>
      </w:pPr>
      <w:r>
        <w:rPr>
          <w:rFonts w:hint="eastAsia" w:ascii="宋体" w:hAnsi="宋体"/>
          <w:szCs w:val="21"/>
        </w:rPr>
        <w:t>3.3供应商与采购人的采购合同及送货单据、销售发票；</w:t>
      </w:r>
    </w:p>
    <w:p w14:paraId="3940DE8C">
      <w:pPr>
        <w:spacing w:line="360" w:lineRule="auto"/>
        <w:ind w:firstLine="420" w:firstLineChars="200"/>
        <w:rPr>
          <w:rFonts w:ascii="宋体" w:hAnsi="宋体"/>
          <w:szCs w:val="21"/>
        </w:rPr>
      </w:pPr>
      <w:r>
        <w:rPr>
          <w:rFonts w:hint="eastAsia" w:ascii="宋体" w:hAnsi="宋体"/>
          <w:szCs w:val="21"/>
        </w:rPr>
        <w:t>3.4采购人根据实际需要提前（以合同约定时间为准）将下周需求通知供应商，供应商在接到通知后备齐货物，按时送抵交货地点。供应商不能按时、保质、保量供货，由采购人自行采购，并承担采购人由此造成的经济损失和接受违约处罚。</w:t>
      </w:r>
    </w:p>
    <w:p w14:paraId="1F563B3D">
      <w:pPr>
        <w:spacing w:line="360" w:lineRule="auto"/>
        <w:ind w:firstLine="422" w:firstLineChars="200"/>
        <w:rPr>
          <w:rFonts w:ascii="宋体" w:hAnsi="宋体"/>
          <w:b/>
          <w:bCs/>
          <w:szCs w:val="21"/>
        </w:rPr>
      </w:pPr>
      <w:r>
        <w:rPr>
          <w:rFonts w:hint="eastAsia" w:ascii="宋体" w:hAnsi="宋体"/>
          <w:b/>
          <w:bCs/>
          <w:szCs w:val="21"/>
        </w:rPr>
        <w:t>（四）实施要求及监督管理</w:t>
      </w:r>
    </w:p>
    <w:p w14:paraId="4583614D">
      <w:pPr>
        <w:spacing w:line="360" w:lineRule="auto"/>
        <w:ind w:firstLine="420" w:firstLineChars="200"/>
        <w:rPr>
          <w:rFonts w:ascii="宋体" w:hAnsi="宋体"/>
          <w:szCs w:val="21"/>
        </w:rPr>
      </w:pPr>
      <w:r>
        <w:rPr>
          <w:rFonts w:hint="eastAsia" w:ascii="宋体" w:hAnsi="宋体"/>
          <w:szCs w:val="21"/>
        </w:rPr>
        <w:t>1.中标供应商应按照招标要求、投标承诺及合同约定全面真实履约，接受采购人监督。</w:t>
      </w:r>
    </w:p>
    <w:p w14:paraId="42B813F7">
      <w:pPr>
        <w:spacing w:line="360" w:lineRule="auto"/>
        <w:ind w:firstLine="420" w:firstLineChars="200"/>
        <w:rPr>
          <w:rFonts w:ascii="宋体" w:hAnsi="宋体"/>
          <w:szCs w:val="21"/>
        </w:rPr>
      </w:pPr>
      <w:r>
        <w:rPr>
          <w:rFonts w:hint="eastAsia" w:ascii="宋体" w:hAnsi="宋体"/>
          <w:szCs w:val="21"/>
        </w:rPr>
        <w:t>2.采购人组织对中标供应商合同履约情况进行定期或不定期的监督检查，必要时可邀请权威专业机构协助检查，中标供应商应积极配合，并按照要求如实反映情况，提供材料。</w:t>
      </w:r>
    </w:p>
    <w:p w14:paraId="12EC3DC5">
      <w:pPr>
        <w:spacing w:line="360" w:lineRule="auto"/>
        <w:ind w:firstLine="420" w:firstLineChars="200"/>
        <w:rPr>
          <w:rFonts w:ascii="宋体" w:hAnsi="宋体"/>
          <w:szCs w:val="21"/>
        </w:rPr>
      </w:pPr>
      <w:r>
        <w:rPr>
          <w:rFonts w:hint="eastAsia" w:ascii="宋体" w:hAnsi="宋体"/>
          <w:szCs w:val="21"/>
        </w:rPr>
        <w:t>3.中标供应商在合同执行期间，有下列情况之一的，经查属实，采购人有权直接解除供货服务合同：</w:t>
      </w:r>
    </w:p>
    <w:p w14:paraId="4E445AD3">
      <w:pPr>
        <w:spacing w:line="360" w:lineRule="auto"/>
        <w:ind w:firstLine="420" w:firstLineChars="200"/>
        <w:rPr>
          <w:rFonts w:ascii="宋体" w:hAnsi="宋体"/>
          <w:szCs w:val="21"/>
        </w:rPr>
      </w:pPr>
      <w:r>
        <w:rPr>
          <w:rFonts w:hint="eastAsia" w:ascii="宋体" w:hAnsi="宋体"/>
          <w:szCs w:val="21"/>
        </w:rPr>
        <w:t>（1）弄虚作假、隐瞒真实情况骗取</w:t>
      </w:r>
      <w:r>
        <w:rPr>
          <w:rFonts w:hint="eastAsia"/>
        </w:rPr>
        <w:t>中标</w:t>
      </w:r>
      <w:r>
        <w:rPr>
          <w:rFonts w:hint="eastAsia" w:ascii="宋体" w:hAnsi="宋体"/>
          <w:szCs w:val="21"/>
        </w:rPr>
        <w:t>资格的；</w:t>
      </w:r>
    </w:p>
    <w:p w14:paraId="0AEA304B">
      <w:pPr>
        <w:spacing w:line="360" w:lineRule="auto"/>
        <w:ind w:firstLine="420" w:firstLineChars="200"/>
        <w:rPr>
          <w:rFonts w:ascii="宋体" w:hAnsi="宋体"/>
          <w:szCs w:val="21"/>
        </w:rPr>
      </w:pPr>
      <w:r>
        <w:rPr>
          <w:rFonts w:hint="eastAsia" w:ascii="宋体" w:hAnsi="宋体"/>
          <w:szCs w:val="21"/>
        </w:rPr>
        <w:t>（2）非法手段排斥其他供应商参与竞争的；</w:t>
      </w:r>
    </w:p>
    <w:p w14:paraId="5E8FF114">
      <w:pPr>
        <w:spacing w:line="360" w:lineRule="auto"/>
        <w:ind w:firstLine="420" w:firstLineChars="200"/>
        <w:rPr>
          <w:rFonts w:ascii="宋体" w:hAnsi="宋体"/>
          <w:szCs w:val="21"/>
        </w:rPr>
      </w:pPr>
      <w:r>
        <w:rPr>
          <w:rFonts w:hint="eastAsia" w:ascii="宋体" w:hAnsi="宋体"/>
          <w:szCs w:val="21"/>
        </w:rPr>
        <w:t>（3）违反规定、约定的，或者挂靠的；</w:t>
      </w:r>
    </w:p>
    <w:p w14:paraId="626CDC7A">
      <w:pPr>
        <w:spacing w:line="360" w:lineRule="auto"/>
        <w:ind w:firstLine="420" w:firstLineChars="200"/>
        <w:rPr>
          <w:rFonts w:ascii="宋体" w:hAnsi="宋体"/>
          <w:szCs w:val="21"/>
        </w:rPr>
      </w:pPr>
      <w:r>
        <w:rPr>
          <w:rFonts w:hint="eastAsia" w:ascii="宋体" w:hAnsi="宋体"/>
          <w:szCs w:val="21"/>
        </w:rPr>
        <w:t>（4）恶意质疑投诉的；</w:t>
      </w:r>
    </w:p>
    <w:p w14:paraId="34291966">
      <w:pPr>
        <w:spacing w:line="360" w:lineRule="auto"/>
        <w:ind w:firstLine="420" w:firstLineChars="200"/>
        <w:rPr>
          <w:rFonts w:ascii="宋体" w:hAnsi="宋体"/>
          <w:szCs w:val="21"/>
        </w:rPr>
      </w:pPr>
      <w:r>
        <w:rPr>
          <w:rFonts w:hint="eastAsia" w:ascii="宋体" w:hAnsi="宋体"/>
          <w:szCs w:val="21"/>
        </w:rPr>
        <w:t>（5）因其公司资质降低达不到</w:t>
      </w:r>
      <w:r>
        <w:rPr>
          <w:rFonts w:hint="eastAsia"/>
        </w:rPr>
        <w:t>中标</w:t>
      </w:r>
      <w:r>
        <w:rPr>
          <w:rFonts w:hint="eastAsia" w:ascii="宋体" w:hAnsi="宋体"/>
          <w:szCs w:val="21"/>
        </w:rPr>
        <w:t>资质条件的，或被行业主管部门责令停业或取消资质的；</w:t>
      </w:r>
    </w:p>
    <w:p w14:paraId="4E7B9750">
      <w:pPr>
        <w:spacing w:line="360" w:lineRule="auto"/>
        <w:ind w:firstLine="420" w:firstLineChars="200"/>
        <w:rPr>
          <w:rFonts w:ascii="宋体" w:hAnsi="宋体"/>
          <w:szCs w:val="21"/>
        </w:rPr>
      </w:pPr>
      <w:r>
        <w:rPr>
          <w:rFonts w:hint="eastAsia" w:ascii="宋体" w:hAnsi="宋体"/>
          <w:szCs w:val="21"/>
        </w:rPr>
        <w:t>（6）拖欠工人工资、经劳动或其他政府部门催告或通报仍不清偿的；</w:t>
      </w:r>
    </w:p>
    <w:p w14:paraId="412BD490">
      <w:pPr>
        <w:spacing w:line="360" w:lineRule="auto"/>
        <w:ind w:firstLine="420" w:firstLineChars="200"/>
        <w:rPr>
          <w:rFonts w:ascii="宋体" w:hAnsi="宋体"/>
          <w:szCs w:val="21"/>
        </w:rPr>
      </w:pPr>
      <w:r>
        <w:rPr>
          <w:rFonts w:hint="eastAsia" w:ascii="宋体" w:hAnsi="宋体"/>
          <w:szCs w:val="21"/>
        </w:rPr>
        <w:t>（7）拒绝有关部门检查或者不如实反映情况，提供材料的；</w:t>
      </w:r>
    </w:p>
    <w:p w14:paraId="48994B79">
      <w:pPr>
        <w:spacing w:line="360" w:lineRule="auto"/>
        <w:ind w:firstLine="420" w:firstLineChars="200"/>
        <w:rPr>
          <w:rFonts w:ascii="宋体" w:hAnsi="宋体"/>
          <w:szCs w:val="21"/>
        </w:rPr>
      </w:pPr>
      <w:r>
        <w:rPr>
          <w:rFonts w:hint="eastAsia" w:ascii="宋体" w:hAnsi="宋体"/>
          <w:szCs w:val="21"/>
        </w:rPr>
        <w:t>（8）向采购项目相关人行贿或者提供其他不正当利益的；</w:t>
      </w:r>
    </w:p>
    <w:p w14:paraId="336FDEF8">
      <w:pPr>
        <w:spacing w:line="360" w:lineRule="auto"/>
        <w:ind w:firstLine="420" w:firstLineChars="200"/>
        <w:rPr>
          <w:rFonts w:ascii="宋体" w:hAnsi="宋体"/>
          <w:szCs w:val="21"/>
        </w:rPr>
      </w:pPr>
      <w:r>
        <w:rPr>
          <w:rFonts w:hint="eastAsia" w:ascii="宋体" w:hAnsi="宋体"/>
          <w:szCs w:val="21"/>
        </w:rPr>
        <w:t>（9）选定后无正当理由不与采购人签订合同的；</w:t>
      </w:r>
    </w:p>
    <w:p w14:paraId="2EDDF088">
      <w:pPr>
        <w:spacing w:line="360" w:lineRule="auto"/>
        <w:ind w:firstLine="420" w:firstLineChars="200"/>
        <w:rPr>
          <w:rFonts w:ascii="宋体" w:hAnsi="宋体"/>
          <w:szCs w:val="21"/>
        </w:rPr>
      </w:pPr>
      <w:r>
        <w:rPr>
          <w:rFonts w:hint="eastAsia" w:ascii="宋体" w:hAnsi="宋体"/>
          <w:szCs w:val="21"/>
        </w:rPr>
        <w:t>（10）擅自变更或者中止采购服务合同的；</w:t>
      </w:r>
    </w:p>
    <w:p w14:paraId="516E9122">
      <w:pPr>
        <w:spacing w:line="360" w:lineRule="auto"/>
        <w:ind w:firstLine="420" w:firstLineChars="200"/>
        <w:rPr>
          <w:rFonts w:ascii="宋体" w:hAnsi="宋体"/>
          <w:szCs w:val="21"/>
        </w:rPr>
      </w:pPr>
      <w:r>
        <w:rPr>
          <w:rFonts w:hint="eastAsia" w:ascii="宋体" w:hAnsi="宋体"/>
          <w:szCs w:val="21"/>
        </w:rPr>
        <w:t>（11）不按采购需求、投标文件以及采购服务合同要求全面履约，履约情况评价不合格的；</w:t>
      </w:r>
    </w:p>
    <w:p w14:paraId="393C8C93">
      <w:pPr>
        <w:spacing w:line="360" w:lineRule="auto"/>
        <w:ind w:firstLine="420" w:firstLineChars="200"/>
        <w:rPr>
          <w:rFonts w:ascii="宋体" w:hAnsi="宋体"/>
          <w:szCs w:val="21"/>
        </w:rPr>
      </w:pPr>
      <w:r>
        <w:rPr>
          <w:rFonts w:hint="eastAsia" w:ascii="宋体" w:hAnsi="宋体"/>
          <w:szCs w:val="21"/>
        </w:rPr>
        <w:t>（12）未按规定出具检测报告或相关承诺书等资料达到二次的；</w:t>
      </w:r>
    </w:p>
    <w:p w14:paraId="5A0F9526">
      <w:pPr>
        <w:spacing w:line="360" w:lineRule="auto"/>
        <w:ind w:firstLine="420" w:firstLineChars="200"/>
        <w:rPr>
          <w:rFonts w:ascii="宋体" w:hAnsi="宋体"/>
          <w:szCs w:val="21"/>
        </w:rPr>
      </w:pPr>
      <w:r>
        <w:rPr>
          <w:rFonts w:hint="eastAsia" w:ascii="宋体" w:hAnsi="宋体"/>
          <w:szCs w:val="21"/>
        </w:rPr>
        <w:t>（13）经核实配送物资不符合采购人要求达到三次的；</w:t>
      </w:r>
    </w:p>
    <w:p w14:paraId="3D13B6F7">
      <w:pPr>
        <w:spacing w:line="360" w:lineRule="auto"/>
        <w:ind w:firstLine="420" w:firstLineChars="200"/>
        <w:rPr>
          <w:rFonts w:ascii="宋体" w:hAnsi="宋体"/>
          <w:szCs w:val="21"/>
        </w:rPr>
      </w:pPr>
      <w:r>
        <w:rPr>
          <w:rFonts w:hint="eastAsia" w:ascii="宋体" w:hAnsi="宋体"/>
          <w:szCs w:val="21"/>
        </w:rPr>
        <w:t>（14）不按要求提供报价三次的；</w:t>
      </w:r>
    </w:p>
    <w:p w14:paraId="2BE03468">
      <w:pPr>
        <w:spacing w:line="360" w:lineRule="auto"/>
        <w:ind w:firstLine="420" w:firstLineChars="200"/>
        <w:rPr>
          <w:rFonts w:ascii="宋体" w:hAnsi="宋体"/>
          <w:szCs w:val="21"/>
        </w:rPr>
      </w:pPr>
      <w:r>
        <w:rPr>
          <w:rFonts w:hint="eastAsia" w:ascii="宋体" w:hAnsi="宋体"/>
          <w:szCs w:val="21"/>
        </w:rPr>
        <w:t>（15）虚高报价三次的；</w:t>
      </w:r>
    </w:p>
    <w:p w14:paraId="07D1F6B7">
      <w:pPr>
        <w:spacing w:line="360" w:lineRule="auto"/>
        <w:ind w:firstLine="420" w:firstLineChars="200"/>
        <w:rPr>
          <w:rFonts w:ascii="宋体" w:hAnsi="宋体"/>
          <w:szCs w:val="21"/>
        </w:rPr>
      </w:pPr>
      <w:r>
        <w:rPr>
          <w:rFonts w:hint="eastAsia" w:ascii="宋体" w:hAnsi="宋体"/>
          <w:szCs w:val="21"/>
        </w:rPr>
        <w:t>（16）物资或服务以次充好，存在严重质量问题的；</w:t>
      </w:r>
    </w:p>
    <w:p w14:paraId="44FCFC69">
      <w:pPr>
        <w:spacing w:line="360" w:lineRule="auto"/>
        <w:ind w:firstLine="420" w:firstLineChars="200"/>
        <w:rPr>
          <w:rFonts w:ascii="宋体" w:hAnsi="宋体"/>
          <w:szCs w:val="21"/>
        </w:rPr>
      </w:pPr>
      <w:r>
        <w:rPr>
          <w:rFonts w:hint="eastAsia" w:ascii="宋体" w:hAnsi="宋体"/>
          <w:szCs w:val="21"/>
        </w:rPr>
        <w:t>（17）因中标供应的货物质量达不到国家有关食品安全标准而造成食物中毒或其它后果，经公安单位或</w:t>
      </w:r>
      <w:r>
        <w:rPr>
          <w:rFonts w:hint="eastAsia" w:hAnsi="宋体"/>
          <w:szCs w:val="21"/>
        </w:rPr>
        <w:t>相关卫生部门</w:t>
      </w:r>
      <w:r>
        <w:rPr>
          <w:rFonts w:hint="eastAsia" w:ascii="宋体" w:hAnsi="宋体"/>
          <w:szCs w:val="21"/>
        </w:rPr>
        <w:t>鉴定属于中标供应商（配送单位）责任的；</w:t>
      </w:r>
    </w:p>
    <w:p w14:paraId="0B6B70CB">
      <w:pPr>
        <w:spacing w:line="360" w:lineRule="auto"/>
        <w:ind w:firstLine="420" w:firstLineChars="200"/>
        <w:rPr>
          <w:rFonts w:ascii="宋体" w:hAnsi="宋体"/>
          <w:szCs w:val="21"/>
        </w:rPr>
      </w:pPr>
      <w:r>
        <w:rPr>
          <w:rFonts w:hint="eastAsia" w:ascii="宋体" w:hAnsi="宋体"/>
          <w:szCs w:val="21"/>
        </w:rPr>
        <w:t>（18）经2次以上（含2次）的有效投诉处理仍不纠正的，有效投诉指的是供应商被投诉内容经查实确定为违反服务合同或其他协议规定的事实；</w:t>
      </w:r>
    </w:p>
    <w:p w14:paraId="0BBF145E">
      <w:pPr>
        <w:spacing w:line="360" w:lineRule="auto"/>
        <w:ind w:firstLine="420" w:firstLineChars="200"/>
        <w:rPr>
          <w:rFonts w:ascii="宋体" w:hAnsi="宋体"/>
          <w:szCs w:val="21"/>
        </w:rPr>
      </w:pPr>
      <w:r>
        <w:rPr>
          <w:rFonts w:hint="eastAsia" w:ascii="宋体" w:hAnsi="宋体"/>
          <w:szCs w:val="21"/>
        </w:rPr>
        <w:t>（19）造成严重后果或恶劣影响的行为；</w:t>
      </w:r>
    </w:p>
    <w:p w14:paraId="21C71063">
      <w:pPr>
        <w:spacing w:line="360" w:lineRule="auto"/>
        <w:ind w:firstLine="420" w:firstLineChars="200"/>
        <w:rPr>
          <w:rFonts w:ascii="宋体" w:hAnsi="宋体"/>
          <w:szCs w:val="21"/>
        </w:rPr>
      </w:pPr>
      <w:r>
        <w:rPr>
          <w:rFonts w:hint="eastAsia" w:ascii="宋体" w:hAnsi="宋体"/>
          <w:szCs w:val="21"/>
        </w:rPr>
        <w:t>（20）其他违法法律、法规和协议规定的行为。</w:t>
      </w:r>
    </w:p>
    <w:p w14:paraId="5875AAC1">
      <w:pPr>
        <w:snapToGrid w:val="0"/>
        <w:spacing w:line="360" w:lineRule="auto"/>
        <w:ind w:firstLine="420" w:firstLineChars="200"/>
        <w:rPr>
          <w:rFonts w:ascii="宋体" w:hAnsi="宋体"/>
          <w:szCs w:val="21"/>
        </w:rPr>
      </w:pPr>
      <w:r>
        <w:rPr>
          <w:rFonts w:hint="eastAsia" w:ascii="宋体" w:hAnsi="宋体"/>
          <w:szCs w:val="21"/>
        </w:rPr>
        <w:t>4.其他考核细则参照《中标供应商履约评价表》。</w:t>
      </w:r>
    </w:p>
    <w:p w14:paraId="599CC2EB">
      <w:pPr>
        <w:pStyle w:val="23"/>
      </w:pPr>
    </w:p>
    <w:p w14:paraId="214C42E2">
      <w:pPr>
        <w:spacing w:before="156" w:beforeLines="50" w:after="156" w:afterLines="50" w:line="360" w:lineRule="auto"/>
        <w:ind w:firstLine="562" w:firstLineChars="200"/>
        <w:jc w:val="center"/>
        <w:rPr>
          <w:rFonts w:ascii="宋体" w:hAnsi="宋体"/>
          <w:b/>
          <w:bCs/>
          <w:kern w:val="0"/>
          <w:sz w:val="28"/>
          <w:szCs w:val="28"/>
        </w:rPr>
      </w:pPr>
      <w:r>
        <w:rPr>
          <w:rFonts w:hint="eastAsia" w:ascii="宋体" w:hAnsi="宋体"/>
          <w:b/>
          <w:bCs/>
          <w:kern w:val="0"/>
          <w:sz w:val="28"/>
          <w:szCs w:val="28"/>
        </w:rPr>
        <w:t>五、项目商务要求</w:t>
      </w:r>
    </w:p>
    <w:p w14:paraId="3690BCD8">
      <w:pPr>
        <w:adjustRightInd w:val="0"/>
        <w:spacing w:line="360" w:lineRule="auto"/>
        <w:ind w:firstLine="422" w:firstLineChars="200"/>
        <w:jc w:val="left"/>
        <w:textAlignment w:val="baseline"/>
        <w:outlineLvl w:val="1"/>
        <w:rPr>
          <w:rFonts w:ascii="宋体" w:hAnsi="宋体"/>
          <w:b/>
          <w:bCs/>
          <w:kern w:val="0"/>
          <w:szCs w:val="21"/>
          <w:highlight w:val="none"/>
        </w:rPr>
      </w:pPr>
      <w:r>
        <w:rPr>
          <w:rFonts w:hint="eastAsia" w:ascii="宋体" w:hAnsi="宋体"/>
          <w:b/>
          <w:bCs/>
          <w:kern w:val="0"/>
          <w:szCs w:val="21"/>
          <w:highlight w:val="none"/>
        </w:rPr>
        <w:t>（一）服务期限：</w:t>
      </w:r>
    </w:p>
    <w:p w14:paraId="15CC1026">
      <w:pPr>
        <w:adjustRightInd w:val="0"/>
        <w:spacing w:line="360" w:lineRule="auto"/>
        <w:ind w:firstLine="420" w:firstLineChars="200"/>
        <w:jc w:val="left"/>
        <w:textAlignment w:val="baseline"/>
        <w:outlineLvl w:val="1"/>
        <w:rPr>
          <w:rFonts w:ascii="宋体" w:hAnsi="宋体"/>
          <w:kern w:val="0"/>
          <w:szCs w:val="21"/>
        </w:rPr>
      </w:pPr>
      <w:r>
        <w:rPr>
          <w:rFonts w:hint="eastAsia"/>
          <w:b w:val="0"/>
          <w:bCs w:val="0"/>
          <w:highlight w:val="none"/>
        </w:rPr>
        <w:t>本项目服务期</w:t>
      </w:r>
      <w:r>
        <w:rPr>
          <w:rFonts w:hint="eastAsia" w:ascii="宋体" w:hAnsi="宋体" w:eastAsia="宋体" w:cs="宋体"/>
          <w:b w:val="0"/>
          <w:bCs w:val="0"/>
          <w:highlight w:val="none"/>
        </w:rPr>
        <w:t>限为1年，具体</w:t>
      </w:r>
      <w:r>
        <w:rPr>
          <w:rFonts w:hint="eastAsia"/>
          <w:b w:val="0"/>
          <w:bCs w:val="0"/>
          <w:highlight w:val="none"/>
        </w:rPr>
        <w:t>起止时间以合同约定为准。</w:t>
      </w:r>
      <w:r>
        <w:rPr>
          <w:rFonts w:hint="eastAsia" w:ascii="宋体" w:hAnsi="宋体" w:cs="宋体"/>
          <w:szCs w:val="21"/>
        </w:rPr>
        <w:t>该项目为长期服务项目，合同期满可以续签，但合同履行期限最长不得超过三十六个月。如履约、服务情况不满意的或者合同履行期间因违法行为被禁止参与政府采购活动或者存在其他重大违法记录的，则不再续约。</w:t>
      </w:r>
    </w:p>
    <w:p w14:paraId="5D425102">
      <w:pPr>
        <w:spacing w:line="360" w:lineRule="auto"/>
        <w:ind w:firstLine="422" w:firstLineChars="200"/>
        <w:rPr>
          <w:rFonts w:ascii="宋体" w:hAnsi="宋体"/>
          <w:b/>
          <w:bCs/>
          <w:szCs w:val="21"/>
        </w:rPr>
      </w:pPr>
      <w:r>
        <w:rPr>
          <w:rFonts w:hint="eastAsia" w:ascii="宋体" w:hAnsi="宋体"/>
          <w:b/>
          <w:bCs/>
          <w:szCs w:val="21"/>
        </w:rPr>
        <w:t>（二）报价要求</w:t>
      </w:r>
    </w:p>
    <w:p w14:paraId="5243DBDB">
      <w:pPr>
        <w:spacing w:line="360" w:lineRule="auto"/>
        <w:ind w:firstLine="422" w:firstLineChars="200"/>
        <w:rPr>
          <w:rFonts w:ascii="宋体" w:hAnsi="宋体"/>
          <w:szCs w:val="21"/>
        </w:rPr>
      </w:pPr>
      <w:r>
        <w:rPr>
          <w:rFonts w:hint="eastAsia" w:ascii="宋体" w:hAnsi="宋体"/>
          <w:b/>
          <w:bCs/>
          <w:szCs w:val="21"/>
          <w:highlight w:val="yellow"/>
        </w:rPr>
        <w:t>★1.本项目不涉及具体投标金额（无须供应商在投标文件中填报具体投标金额），供应商只需在投标文件项目报价表中填报唯一的折扣率。供应商应根据自身成本自行填报“折扣率”，应包括服务成本、法定税费和企业的利润，但不得以低于其成本的报价竞标。</w:t>
      </w:r>
    </w:p>
    <w:p w14:paraId="2FCBA294">
      <w:pPr>
        <w:spacing w:line="360" w:lineRule="auto"/>
        <w:ind w:firstLine="422" w:firstLineChars="200"/>
        <w:rPr>
          <w:rFonts w:ascii="宋体" w:hAnsi="宋体"/>
          <w:b/>
          <w:bCs/>
          <w:szCs w:val="21"/>
          <w:highlight w:val="yellow"/>
        </w:rPr>
      </w:pPr>
      <w:r>
        <w:rPr>
          <w:rFonts w:hint="eastAsia" w:ascii="宋体" w:hAnsi="宋体"/>
          <w:b/>
          <w:bCs/>
          <w:szCs w:val="21"/>
          <w:highlight w:val="yellow"/>
        </w:rPr>
        <w:t>★2.“折扣率”填写要求</w:t>
      </w:r>
    </w:p>
    <w:p w14:paraId="4E85C7CA">
      <w:pPr>
        <w:spacing w:line="360" w:lineRule="auto"/>
        <w:ind w:firstLine="422" w:firstLineChars="200"/>
        <w:rPr>
          <w:rFonts w:ascii="宋体" w:hAnsi="宋体"/>
          <w:b/>
          <w:bCs/>
          <w:szCs w:val="21"/>
          <w:highlight w:val="yellow"/>
        </w:rPr>
      </w:pPr>
      <w:r>
        <w:rPr>
          <w:rFonts w:hint="eastAsia" w:ascii="宋体" w:hAnsi="宋体"/>
          <w:b/>
          <w:bCs/>
          <w:szCs w:val="21"/>
          <w:highlight w:val="yellow"/>
        </w:rPr>
        <w:t>（1）填写要求：0＜折扣率≤1，未按此要求填写将作废标处理。</w:t>
      </w:r>
    </w:p>
    <w:p w14:paraId="7B9B8C13">
      <w:pPr>
        <w:spacing w:line="360" w:lineRule="auto"/>
        <w:ind w:firstLine="422" w:firstLineChars="200"/>
        <w:rPr>
          <w:rFonts w:ascii="宋体" w:hAnsi="宋体"/>
          <w:b/>
          <w:bCs/>
          <w:szCs w:val="21"/>
          <w:highlight w:val="yellow"/>
        </w:rPr>
      </w:pPr>
      <w:r>
        <w:rPr>
          <w:rFonts w:hint="eastAsia" w:ascii="宋体" w:hAnsi="宋体"/>
          <w:b/>
          <w:bCs/>
          <w:szCs w:val="21"/>
          <w:highlight w:val="yellow"/>
        </w:rPr>
        <w:t>（2）填写的“折扣率”应为小数，（如：0.90、0.80、0.78，最多保留小数点后两位）；</w:t>
      </w:r>
    </w:p>
    <w:p w14:paraId="3801F01D">
      <w:pPr>
        <w:spacing w:line="360" w:lineRule="auto"/>
        <w:ind w:firstLine="422" w:firstLineChars="200"/>
        <w:rPr>
          <w:rFonts w:ascii="宋体" w:hAnsi="宋体"/>
          <w:b/>
          <w:bCs/>
          <w:szCs w:val="21"/>
          <w:highlight w:val="yellow"/>
        </w:rPr>
      </w:pPr>
      <w:r>
        <w:rPr>
          <w:rFonts w:hint="eastAsia" w:ascii="宋体" w:hAnsi="宋体"/>
          <w:b/>
          <w:bCs/>
          <w:szCs w:val="21"/>
          <w:highlight w:val="yellow"/>
        </w:rPr>
        <w:t>（3）供应商参与投标只允许填报一个“折扣率”，不允许填报2个（或以上）的“折扣率”；填报了2个或以上“折扣率”的，其投标将直接作投标无效处理；</w:t>
      </w:r>
    </w:p>
    <w:p w14:paraId="0996A06F">
      <w:pPr>
        <w:spacing w:line="360" w:lineRule="auto"/>
        <w:ind w:firstLine="422" w:firstLineChars="200"/>
        <w:rPr>
          <w:rFonts w:ascii="宋体" w:hAnsi="宋体"/>
          <w:szCs w:val="21"/>
        </w:rPr>
      </w:pPr>
      <w:r>
        <w:rPr>
          <w:rFonts w:hint="eastAsia" w:ascii="宋体" w:hAnsi="宋体"/>
          <w:b/>
          <w:bCs/>
          <w:szCs w:val="21"/>
          <w:highlight w:val="yellow"/>
        </w:rPr>
        <w:t>（4）“折扣率”缺填、漏填将直接作投标无效处理。</w:t>
      </w:r>
    </w:p>
    <w:p w14:paraId="10B4C199">
      <w:pPr>
        <w:spacing w:line="360" w:lineRule="auto"/>
        <w:ind w:firstLine="420" w:firstLineChars="200"/>
        <w:rPr>
          <w:rFonts w:ascii="宋体" w:hAnsi="宋体"/>
          <w:szCs w:val="21"/>
        </w:rPr>
      </w:pPr>
      <w:r>
        <w:rPr>
          <w:rFonts w:hint="eastAsia" w:ascii="宋体" w:hAnsi="宋体"/>
          <w:szCs w:val="21"/>
        </w:rPr>
        <w:t>3.深圳市中农数据有限公司（天天采购平台）中精品部分（即粗加工）部分的品类按深圳市中农数据有限公司（天天采购平台）上月1至25号公布的价格[以采购人下单产品“品名”（别名）的价格（非含费价）]取平均值（平均值精确到分，即小数点后两位）确定该品类的基准价，结算时价格=基准价*折扣率。</w:t>
      </w:r>
    </w:p>
    <w:p w14:paraId="42FD518E">
      <w:pPr>
        <w:spacing w:line="360" w:lineRule="auto"/>
        <w:ind w:firstLine="420" w:firstLineChars="200"/>
        <w:rPr>
          <w:rFonts w:ascii="宋体" w:hAnsi="宋体"/>
          <w:szCs w:val="21"/>
        </w:rPr>
      </w:pPr>
      <w:r>
        <w:rPr>
          <w:rFonts w:hint="eastAsia" w:ascii="宋体" w:hAnsi="宋体"/>
          <w:szCs w:val="21"/>
        </w:rPr>
        <w:t>4.深圳市中农数据有限公司（天天采购平台）中除精品部分（即粗加工）商品以外的所有品类按深圳市中农数据有限公司（天天采购平台）上月1至25号公布的价格[以采购人下单产品“品名”（别名）的价格（非含费价）]取平均值（平均值精确到分，即小数点后两位）</w:t>
      </w:r>
      <w:r>
        <w:rPr>
          <w:rFonts w:hint="eastAsia" w:hAnsi="宋体"/>
          <w:szCs w:val="21"/>
        </w:rPr>
        <w:t>确定该品类的基准价，结算时价格=基准价*折扣率。</w:t>
      </w:r>
    </w:p>
    <w:p w14:paraId="1AC8CCB6">
      <w:pPr>
        <w:spacing w:line="360" w:lineRule="auto"/>
        <w:ind w:firstLine="420" w:firstLineChars="200"/>
        <w:rPr>
          <w:rFonts w:ascii="宋体" w:hAnsi="宋体"/>
          <w:szCs w:val="21"/>
        </w:rPr>
      </w:pPr>
      <w:r>
        <w:rPr>
          <w:rFonts w:hint="eastAsia" w:ascii="宋体" w:hAnsi="宋体"/>
          <w:szCs w:val="21"/>
        </w:rPr>
        <w:t>5.深圳市中农数据有限公司（天天采购平台）中无价格的产品，则结算时价格=折扣率*市场价。（由采购人和中标供应商组成价格调查小组，到周边大型商超（沃尔玛、天虹、华润万家等）或周边大型农贸批发市场等现场调研决定）。</w:t>
      </w:r>
    </w:p>
    <w:p w14:paraId="696EF02B">
      <w:pPr>
        <w:spacing w:line="360" w:lineRule="auto"/>
        <w:ind w:firstLine="420" w:firstLineChars="200"/>
        <w:rPr>
          <w:rFonts w:ascii="宋体" w:hAnsi="宋体"/>
          <w:szCs w:val="21"/>
        </w:rPr>
      </w:pPr>
      <w:r>
        <w:rPr>
          <w:rFonts w:hint="eastAsia" w:ascii="宋体" w:hAnsi="宋体"/>
          <w:szCs w:val="21"/>
        </w:rPr>
        <w:t>6.如遇台风、暴雨等不可遇见的原因造成个别品种及价格需临时做调整的，供应商应事先通知采购人，在采购人确认后方可调整。中标供应商应积极做好特殊时期食材配送保障，如逢节假日、考评、检查、动物疫情、重大会议或防洪防台风等特殊时期的食材配送，不得借故哄抬物价或拒绝配送，确保食材不间断供应。</w:t>
      </w:r>
    </w:p>
    <w:p w14:paraId="61ABCC53">
      <w:pPr>
        <w:spacing w:line="360" w:lineRule="auto"/>
        <w:ind w:firstLine="420" w:firstLineChars="200"/>
        <w:rPr>
          <w:rFonts w:ascii="宋体" w:hAnsi="宋体"/>
          <w:szCs w:val="21"/>
        </w:rPr>
      </w:pPr>
      <w:r>
        <w:rPr>
          <w:rFonts w:hint="eastAsia" w:ascii="宋体" w:hAnsi="宋体"/>
          <w:szCs w:val="21"/>
        </w:rPr>
        <w:t>7.投标总价（折扣率）为全包价，包括供应产品和产品运输到采购人单位的粗加工费、服务费、检测费、人工费、管理费、税金等一切可能发生的费用。如上级部门要求完成扶贫采购任务，中标供应商应无条件支持配合采购人完成扶贫采购任务。</w:t>
      </w:r>
    </w:p>
    <w:p w14:paraId="4ECEA88D">
      <w:pPr>
        <w:spacing w:line="360" w:lineRule="auto"/>
        <w:ind w:firstLine="420" w:firstLineChars="200"/>
        <w:rPr>
          <w:rFonts w:ascii="宋体" w:hAnsi="宋体"/>
          <w:szCs w:val="21"/>
        </w:rPr>
      </w:pPr>
      <w:r>
        <w:rPr>
          <w:rFonts w:hint="eastAsia" w:ascii="宋体" w:hAnsi="宋体"/>
          <w:szCs w:val="21"/>
        </w:rPr>
        <w:t>8.由于配送食材数量和种类等不能确定，采购人结算时按实支付。</w:t>
      </w:r>
    </w:p>
    <w:p w14:paraId="774B753A">
      <w:pPr>
        <w:spacing w:line="360" w:lineRule="auto"/>
        <w:ind w:firstLine="422" w:firstLineChars="200"/>
        <w:rPr>
          <w:rFonts w:ascii="宋体" w:hAnsi="宋体"/>
          <w:b/>
          <w:bCs/>
          <w:szCs w:val="21"/>
        </w:rPr>
      </w:pPr>
      <w:r>
        <w:rPr>
          <w:rFonts w:hint="eastAsia" w:ascii="宋体" w:hAnsi="宋体"/>
          <w:b/>
          <w:bCs/>
          <w:szCs w:val="21"/>
        </w:rPr>
        <w:t>（三）付款方式</w:t>
      </w:r>
    </w:p>
    <w:p w14:paraId="180166CB">
      <w:pPr>
        <w:spacing w:line="360" w:lineRule="auto"/>
        <w:ind w:firstLine="420" w:firstLineChars="200"/>
        <w:rPr>
          <w:rFonts w:ascii="宋体" w:hAnsi="宋体"/>
          <w:szCs w:val="21"/>
        </w:rPr>
      </w:pPr>
      <w:r>
        <w:rPr>
          <w:rFonts w:hint="eastAsia" w:ascii="宋体" w:hAnsi="宋体"/>
          <w:szCs w:val="21"/>
        </w:rPr>
        <w:t>1.配送产品货款实行月结，中标供应商凭采购人签字确认的配送清单及正式发票向采购人定时结算；</w:t>
      </w:r>
    </w:p>
    <w:p w14:paraId="64A89177">
      <w:pPr>
        <w:spacing w:line="360" w:lineRule="auto"/>
        <w:ind w:firstLine="420" w:firstLineChars="200"/>
        <w:rPr>
          <w:rFonts w:ascii="宋体" w:hAnsi="宋体"/>
          <w:szCs w:val="21"/>
        </w:rPr>
      </w:pPr>
      <w:r>
        <w:rPr>
          <w:rFonts w:hint="eastAsia" w:ascii="宋体" w:hAnsi="宋体"/>
          <w:szCs w:val="21"/>
        </w:rPr>
        <w:t>2.每月</w:t>
      </w:r>
      <w:r>
        <w:rPr>
          <w:rFonts w:ascii="宋体" w:hAnsi="宋体"/>
          <w:szCs w:val="21"/>
        </w:rPr>
        <w:t>10</w:t>
      </w:r>
      <w:r>
        <w:rPr>
          <w:rFonts w:hint="eastAsia" w:ascii="宋体" w:hAnsi="宋体"/>
          <w:szCs w:val="21"/>
        </w:rPr>
        <w:t>日前，双方核对上月所配送的全部货款，经采购人确认后于每月20日前支付上月的货款；</w:t>
      </w:r>
    </w:p>
    <w:p w14:paraId="1FABC25D">
      <w:pPr>
        <w:spacing w:line="360" w:lineRule="auto"/>
        <w:ind w:firstLine="420" w:firstLineChars="200"/>
        <w:rPr>
          <w:rFonts w:ascii="宋体" w:hAnsi="宋体"/>
          <w:szCs w:val="21"/>
        </w:rPr>
      </w:pPr>
      <w:r>
        <w:rPr>
          <w:rFonts w:hint="eastAsia" w:ascii="宋体" w:hAnsi="宋体"/>
          <w:szCs w:val="21"/>
        </w:rPr>
        <w:t>3.中标供应商提供银行账号资料供采购人通过银行转账。</w:t>
      </w:r>
    </w:p>
    <w:p w14:paraId="73F40088">
      <w:pPr>
        <w:spacing w:line="360" w:lineRule="auto"/>
        <w:ind w:firstLine="420" w:firstLineChars="200"/>
        <w:rPr>
          <w:rFonts w:ascii="宋体" w:hAnsi="宋体"/>
          <w:szCs w:val="21"/>
        </w:rPr>
      </w:pPr>
      <w:r>
        <w:rPr>
          <w:rFonts w:hint="eastAsia" w:ascii="宋体" w:hAnsi="宋体"/>
          <w:szCs w:val="21"/>
        </w:rPr>
        <w:t>4.以上为预计付款方式，合同订立时，采购人可根据实际情况最终确定支付方式，并在合同中予以明确。</w:t>
      </w:r>
    </w:p>
    <w:p w14:paraId="6491E090">
      <w:pPr>
        <w:spacing w:line="360" w:lineRule="auto"/>
        <w:ind w:firstLine="422" w:firstLineChars="200"/>
        <w:rPr>
          <w:rFonts w:ascii="宋体" w:hAnsi="宋体"/>
          <w:b/>
          <w:bCs/>
          <w:szCs w:val="21"/>
        </w:rPr>
      </w:pPr>
      <w:r>
        <w:rPr>
          <w:rFonts w:hint="eastAsia" w:ascii="宋体" w:hAnsi="宋体"/>
          <w:b/>
          <w:bCs/>
          <w:szCs w:val="21"/>
        </w:rPr>
        <w:t>（四）违约情况及履约考核</w:t>
      </w:r>
    </w:p>
    <w:p w14:paraId="30D65CC0">
      <w:pPr>
        <w:spacing w:line="360" w:lineRule="auto"/>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.发生以下情形，经调查属实的，扣除当月对货款费的10%作为违约金：</w:t>
      </w:r>
    </w:p>
    <w:p w14:paraId="4BBF003C">
      <w:pPr>
        <w:spacing w:line="360" w:lineRule="auto"/>
        <w:ind w:firstLine="420" w:firstLineChars="200"/>
        <w:rPr>
          <w:rFonts w:ascii="宋体" w:hAnsi="宋体"/>
          <w:szCs w:val="21"/>
        </w:rPr>
      </w:pPr>
      <w:r>
        <w:rPr>
          <w:rFonts w:hint="eastAsia" w:ascii="宋体" w:hAnsi="宋体"/>
          <w:szCs w:val="21"/>
        </w:rPr>
        <w:t>（1）供应商的工作人员不遵守采购人各项管理规定，造成社会不良影响；</w:t>
      </w:r>
    </w:p>
    <w:p w14:paraId="3A6E2C2B">
      <w:pPr>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供应商提供假冒伪劣、以次充好、过期产品的，一经发现，除按采购人要求无条件退货或换货外，还将被处以相关产品结算价格10倍的罚款作为违约金，罚款由供货结算款内扣除。</w:t>
      </w:r>
    </w:p>
    <w:p w14:paraId="608715AC">
      <w:pPr>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.采购人有权抽查食品来源情况、人员登记情况、车辆行车记录情况等，发现相关制度落实不到位且严重影响食材安全的，采购人可单方面终止合同。</w:t>
      </w:r>
    </w:p>
    <w:p w14:paraId="3A8A5868">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3.其他考核内容按照“</w:t>
      </w:r>
      <w:r>
        <w:rPr>
          <w:rFonts w:hint="eastAsia" w:ascii="宋体" w:hAnsi="宋体"/>
          <w:szCs w:val="21"/>
        </w:rPr>
        <w:t>附件3：中标供应商履约评价表</w:t>
      </w:r>
      <w:r>
        <w:rPr>
          <w:rFonts w:hint="eastAsia" w:ascii="宋体" w:hAnsi="宋体"/>
          <w:szCs w:val="21"/>
          <w:lang w:val="en-US" w:eastAsia="zh-CN"/>
        </w:rPr>
        <w:t>”为准。</w:t>
      </w:r>
    </w:p>
    <w:p w14:paraId="234C7150">
      <w:pPr>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.履约考核</w:t>
      </w:r>
    </w:p>
    <w:p w14:paraId="6BC2CA17">
      <w:pPr>
        <w:spacing w:line="360" w:lineRule="auto"/>
        <w:ind w:firstLine="420" w:firstLineChars="200"/>
        <w:rPr>
          <w:rFonts w:ascii="宋体" w:hAnsi="宋体"/>
          <w:szCs w:val="21"/>
        </w:rPr>
      </w:pPr>
      <w:r>
        <w:rPr>
          <w:rFonts w:hint="eastAsia" w:ascii="宋体" w:hAnsi="宋体"/>
          <w:szCs w:val="21"/>
        </w:rPr>
        <w:t>采用日常考核、月度考核及1年度考核的动态考核评价机制。</w:t>
      </w:r>
    </w:p>
    <w:p w14:paraId="598AC6C0">
      <w:pPr>
        <w:spacing w:line="360" w:lineRule="auto"/>
        <w:ind w:firstLine="420" w:firstLineChars="200"/>
        <w:rPr>
          <w:rFonts w:ascii="宋体" w:hAnsi="宋体"/>
          <w:szCs w:val="21"/>
        </w:rPr>
      </w:pPr>
      <w:r>
        <w:rPr>
          <w:rFonts w:hint="eastAsia" w:ascii="宋体" w:hAnsi="宋体"/>
          <w:szCs w:val="21"/>
        </w:rPr>
        <w:t>（1）日常考核。采购人根据供应商的每日配送情况进行日常考核，按照《食堂物供货异常情况登记表》的要求，对供货异常情况（分为质量、时间、服务、价格、其他共五大类）进行逐一登记。日常考核将作为月度考核和1年度考核的重要依据。</w:t>
      </w:r>
    </w:p>
    <w:p w14:paraId="29A081E6">
      <w:pPr>
        <w:spacing w:line="360" w:lineRule="auto"/>
        <w:ind w:firstLine="420" w:firstLineChars="200"/>
        <w:rPr>
          <w:rFonts w:ascii="宋体" w:hAnsi="宋体"/>
          <w:szCs w:val="21"/>
        </w:rPr>
      </w:pPr>
      <w:r>
        <w:rPr>
          <w:rFonts w:hint="eastAsia" w:ascii="宋体" w:hAnsi="宋体"/>
          <w:szCs w:val="21"/>
        </w:rPr>
        <w:t>（2）月度考评。月度考评采用量化评分方式进行。每月5日前根据上月的日常考核结果进行汇总，按照《中标供应商履约评价表》进行月度考评。考评采用百分制。</w:t>
      </w:r>
    </w:p>
    <w:p w14:paraId="3947D581">
      <w:pPr>
        <w:spacing w:line="360" w:lineRule="auto"/>
        <w:ind w:firstLine="420" w:firstLineChars="200"/>
        <w:rPr>
          <w:rFonts w:ascii="宋体" w:hAnsi="宋体"/>
          <w:szCs w:val="21"/>
        </w:rPr>
      </w:pPr>
      <w:r>
        <w:rPr>
          <w:rFonts w:hint="eastAsia" w:ascii="宋体" w:hAnsi="宋体"/>
          <w:szCs w:val="21"/>
        </w:rPr>
        <w:t>（3）年度考评（合同期考评）。根据日常考核及月度考评的结果，对月度考核评分进行汇总统计，对供应商1年进行一次总评。</w:t>
      </w:r>
    </w:p>
    <w:p w14:paraId="324BE786">
      <w:pPr>
        <w:spacing w:line="360" w:lineRule="auto"/>
        <w:ind w:firstLine="420" w:firstLineChars="200"/>
        <w:rPr>
          <w:rFonts w:ascii="宋体" w:hAnsi="宋体"/>
          <w:szCs w:val="21"/>
        </w:rPr>
      </w:pPr>
      <w:r>
        <w:rPr>
          <w:rFonts w:hint="eastAsia" w:ascii="宋体" w:hAnsi="宋体"/>
          <w:szCs w:val="21"/>
        </w:rPr>
        <w:t>（4）合同期届满前30日，采购人对供应商作履约评价。</w:t>
      </w:r>
    </w:p>
    <w:p w14:paraId="246CBCA8">
      <w:pPr>
        <w:snapToGrid w:val="0"/>
        <w:spacing w:line="360" w:lineRule="auto"/>
        <w:ind w:firstLine="420" w:firstLineChars="200"/>
        <w:rPr>
          <w:rFonts w:ascii="宋体" w:hAnsi="宋体"/>
          <w:szCs w:val="21"/>
        </w:rPr>
      </w:pPr>
    </w:p>
    <w:p w14:paraId="3643506D">
      <w:pPr>
        <w:snapToGrid w:val="0"/>
        <w:spacing w:line="360" w:lineRule="auto"/>
        <w:ind w:firstLine="420" w:firstLineChars="200"/>
        <w:rPr>
          <w:rFonts w:ascii="宋体" w:hAnsi="宋体"/>
          <w:szCs w:val="21"/>
        </w:rPr>
      </w:pPr>
      <w:r>
        <w:rPr>
          <w:rFonts w:hint="eastAsia" w:ascii="宋体" w:hAnsi="宋体"/>
          <w:szCs w:val="21"/>
        </w:rPr>
        <w:t>附件1：食堂供货异常情况登记表</w:t>
      </w:r>
    </w:p>
    <w:p w14:paraId="1352693B">
      <w:pPr>
        <w:snapToGrid w:val="0"/>
        <w:spacing w:line="360" w:lineRule="auto"/>
        <w:ind w:firstLine="420" w:firstLineChars="200"/>
        <w:rPr>
          <w:rFonts w:ascii="宋体" w:hAnsi="宋体"/>
          <w:szCs w:val="21"/>
        </w:rPr>
      </w:pPr>
      <w:r>
        <w:rPr>
          <w:rFonts w:hint="eastAsia" w:ascii="宋体" w:hAnsi="宋体"/>
          <w:szCs w:val="21"/>
        </w:rPr>
        <w:t>附件2：食堂物资采购反馈情况表</w:t>
      </w:r>
    </w:p>
    <w:p w14:paraId="61D32853">
      <w:pPr>
        <w:snapToGrid w:val="0"/>
        <w:spacing w:line="360" w:lineRule="auto"/>
        <w:ind w:firstLine="420" w:firstLineChars="200"/>
        <w:rPr>
          <w:rFonts w:ascii="宋体" w:hAnsi="宋体"/>
          <w:szCs w:val="21"/>
        </w:rPr>
      </w:pPr>
      <w:r>
        <w:rPr>
          <w:rFonts w:hint="eastAsia" w:ascii="宋体" w:hAnsi="宋体"/>
          <w:szCs w:val="21"/>
        </w:rPr>
        <w:t>附件3：中标供应商履约评价表</w:t>
      </w:r>
    </w:p>
    <w:p w14:paraId="035F25B0">
      <w:pPr>
        <w:snapToGrid w:val="0"/>
        <w:spacing w:line="360" w:lineRule="auto"/>
        <w:ind w:firstLine="422" w:firstLineChars="200"/>
        <w:jc w:val="center"/>
        <w:rPr>
          <w:rFonts w:ascii="宋体" w:hAnsi="宋体"/>
          <w:b/>
          <w:bCs/>
          <w:szCs w:val="21"/>
        </w:rPr>
      </w:pPr>
      <w:r>
        <w:rPr>
          <w:rFonts w:hint="eastAsia" w:ascii="宋体" w:hAnsi="宋体"/>
          <w:b/>
          <w:bCs/>
          <w:szCs w:val="21"/>
        </w:rPr>
        <w:t>附件1：食堂供货异常情况登记表</w:t>
      </w:r>
    </w:p>
    <w:tbl>
      <w:tblPr>
        <w:tblStyle w:val="44"/>
        <w:tblW w:w="909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596"/>
        <w:gridCol w:w="2349"/>
        <w:gridCol w:w="1843"/>
        <w:gridCol w:w="3310"/>
      </w:tblGrid>
      <w:tr w14:paraId="0D6509F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96" w:type="dxa"/>
            <w:tcBorders>
              <w:top w:val="single" w:color="auto" w:sz="8" w:space="0"/>
              <w:left w:val="single" w:color="auto" w:sz="8" w:space="0"/>
              <w:bottom w:val="single" w:color="auto" w:sz="6" w:space="0"/>
              <w:right w:val="single" w:color="auto" w:sz="6" w:space="0"/>
            </w:tcBorders>
            <w:noWrap/>
            <w:vAlign w:val="center"/>
          </w:tcPr>
          <w:p w14:paraId="152E925C">
            <w:pPr>
              <w:spacing w:line="360" w:lineRule="auto"/>
              <w:rPr>
                <w:rFonts w:ascii="宋体" w:hAnsi="宋体"/>
                <w:szCs w:val="21"/>
              </w:rPr>
            </w:pPr>
            <w:r>
              <w:rPr>
                <w:rFonts w:hint="eastAsia" w:ascii="宋体" w:hAnsi="宋体"/>
                <w:szCs w:val="21"/>
              </w:rPr>
              <w:t>供应商名称</w:t>
            </w:r>
          </w:p>
        </w:tc>
        <w:tc>
          <w:tcPr>
            <w:tcW w:w="2349" w:type="dxa"/>
            <w:tcBorders>
              <w:top w:val="single" w:color="auto" w:sz="8" w:space="0"/>
              <w:left w:val="single" w:color="auto" w:sz="6" w:space="0"/>
              <w:bottom w:val="single" w:color="auto" w:sz="6" w:space="0"/>
              <w:right w:val="single" w:color="auto" w:sz="6" w:space="0"/>
            </w:tcBorders>
            <w:noWrap/>
            <w:vAlign w:val="center"/>
          </w:tcPr>
          <w:p w14:paraId="74BD090A">
            <w:pPr>
              <w:spacing w:line="360" w:lineRule="auto"/>
              <w:rPr>
                <w:rFonts w:ascii="宋体" w:hAnsi="宋体"/>
                <w:szCs w:val="21"/>
              </w:rPr>
            </w:pPr>
          </w:p>
        </w:tc>
        <w:tc>
          <w:tcPr>
            <w:tcW w:w="1843" w:type="dxa"/>
            <w:tcBorders>
              <w:top w:val="single" w:color="auto" w:sz="8" w:space="0"/>
              <w:left w:val="single" w:color="auto" w:sz="6" w:space="0"/>
              <w:bottom w:val="single" w:color="auto" w:sz="6" w:space="0"/>
              <w:right w:val="single" w:color="auto" w:sz="6" w:space="0"/>
            </w:tcBorders>
            <w:noWrap/>
            <w:vAlign w:val="center"/>
          </w:tcPr>
          <w:p w14:paraId="4EE18B3F">
            <w:pPr>
              <w:spacing w:line="360" w:lineRule="auto"/>
              <w:rPr>
                <w:rFonts w:ascii="宋体" w:hAnsi="宋体"/>
                <w:szCs w:val="21"/>
              </w:rPr>
            </w:pPr>
            <w:r>
              <w:rPr>
                <w:rFonts w:hint="eastAsia" w:ascii="宋体" w:hAnsi="宋体"/>
                <w:szCs w:val="21"/>
              </w:rPr>
              <w:t>联系人及电话</w:t>
            </w:r>
          </w:p>
        </w:tc>
        <w:tc>
          <w:tcPr>
            <w:tcW w:w="3310" w:type="dxa"/>
            <w:tcBorders>
              <w:top w:val="single" w:color="auto" w:sz="4" w:space="0"/>
              <w:left w:val="single" w:color="auto" w:sz="6" w:space="0"/>
              <w:bottom w:val="single" w:color="auto" w:sz="6" w:space="0"/>
              <w:right w:val="single" w:color="auto" w:sz="8" w:space="0"/>
            </w:tcBorders>
            <w:noWrap/>
            <w:vAlign w:val="center"/>
          </w:tcPr>
          <w:p w14:paraId="20DDED4F">
            <w:pPr>
              <w:spacing w:line="360" w:lineRule="auto"/>
              <w:rPr>
                <w:rFonts w:ascii="宋体" w:hAnsi="宋体"/>
                <w:szCs w:val="21"/>
              </w:rPr>
            </w:pPr>
          </w:p>
        </w:tc>
      </w:tr>
      <w:tr w14:paraId="336880F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596" w:type="dxa"/>
            <w:tcBorders>
              <w:top w:val="single" w:color="auto" w:sz="6" w:space="0"/>
              <w:left w:val="single" w:color="auto" w:sz="8" w:space="0"/>
              <w:bottom w:val="single" w:color="auto" w:sz="6" w:space="0"/>
              <w:right w:val="single" w:color="auto" w:sz="6" w:space="0"/>
            </w:tcBorders>
            <w:noWrap/>
            <w:vAlign w:val="center"/>
          </w:tcPr>
          <w:p w14:paraId="4B61DA56">
            <w:pPr>
              <w:spacing w:line="360" w:lineRule="auto"/>
              <w:rPr>
                <w:rFonts w:ascii="宋体" w:hAnsi="宋体"/>
                <w:szCs w:val="21"/>
              </w:rPr>
            </w:pPr>
            <w:r>
              <w:rPr>
                <w:rFonts w:hint="eastAsia" w:ascii="宋体" w:hAnsi="宋体"/>
                <w:szCs w:val="21"/>
              </w:rPr>
              <w:t>送货地点</w:t>
            </w:r>
          </w:p>
        </w:tc>
        <w:tc>
          <w:tcPr>
            <w:tcW w:w="2349" w:type="dxa"/>
            <w:tcBorders>
              <w:top w:val="single" w:color="auto" w:sz="6" w:space="0"/>
              <w:left w:val="single" w:color="auto" w:sz="6" w:space="0"/>
              <w:bottom w:val="single" w:color="auto" w:sz="6" w:space="0"/>
              <w:right w:val="single" w:color="auto" w:sz="6" w:space="0"/>
            </w:tcBorders>
            <w:noWrap/>
            <w:vAlign w:val="center"/>
          </w:tcPr>
          <w:p w14:paraId="72AE5D06">
            <w:pPr>
              <w:spacing w:line="360" w:lineRule="auto"/>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noWrap/>
            <w:vAlign w:val="center"/>
          </w:tcPr>
          <w:p w14:paraId="6ABDE642">
            <w:pPr>
              <w:spacing w:line="360" w:lineRule="auto"/>
              <w:rPr>
                <w:rFonts w:ascii="宋体" w:hAnsi="宋体"/>
                <w:szCs w:val="21"/>
              </w:rPr>
            </w:pPr>
            <w:r>
              <w:rPr>
                <w:rFonts w:hint="eastAsia" w:ascii="宋体" w:hAnsi="宋体"/>
                <w:szCs w:val="21"/>
              </w:rPr>
              <w:t>送货时间</w:t>
            </w:r>
          </w:p>
        </w:tc>
        <w:tc>
          <w:tcPr>
            <w:tcW w:w="3310" w:type="dxa"/>
            <w:tcBorders>
              <w:top w:val="single" w:color="auto" w:sz="6" w:space="0"/>
              <w:left w:val="single" w:color="auto" w:sz="6" w:space="0"/>
              <w:bottom w:val="single" w:color="auto" w:sz="6" w:space="0"/>
              <w:right w:val="single" w:color="auto" w:sz="8" w:space="0"/>
            </w:tcBorders>
            <w:noWrap/>
            <w:vAlign w:val="center"/>
          </w:tcPr>
          <w:p w14:paraId="5D07E4B1">
            <w:pPr>
              <w:spacing w:line="360" w:lineRule="auto"/>
              <w:jc w:val="center"/>
              <w:rPr>
                <w:rFonts w:ascii="宋体" w:hAnsi="宋体"/>
                <w:szCs w:val="21"/>
              </w:rPr>
            </w:pPr>
            <w:r>
              <w:rPr>
                <w:rFonts w:hint="eastAsia" w:ascii="宋体" w:hAnsi="宋体"/>
                <w:szCs w:val="21"/>
              </w:rPr>
              <w:t>年  月 日</w:t>
            </w:r>
          </w:p>
        </w:tc>
      </w:tr>
      <w:tr w14:paraId="33B3F26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596" w:type="dxa"/>
            <w:tcBorders>
              <w:top w:val="single" w:color="auto" w:sz="6" w:space="0"/>
              <w:left w:val="single" w:color="auto" w:sz="8" w:space="0"/>
              <w:bottom w:val="single" w:color="auto" w:sz="6" w:space="0"/>
              <w:right w:val="single" w:color="auto" w:sz="6" w:space="0"/>
            </w:tcBorders>
            <w:noWrap/>
            <w:vAlign w:val="center"/>
          </w:tcPr>
          <w:p w14:paraId="14FEB84F">
            <w:pPr>
              <w:spacing w:line="360" w:lineRule="auto"/>
              <w:rPr>
                <w:rFonts w:ascii="宋体" w:hAnsi="宋体"/>
                <w:szCs w:val="21"/>
              </w:rPr>
            </w:pPr>
            <w:r>
              <w:rPr>
                <w:rFonts w:hint="eastAsia" w:ascii="宋体" w:hAnsi="宋体"/>
                <w:szCs w:val="21"/>
              </w:rPr>
              <w:t>异常情况类别</w:t>
            </w:r>
          </w:p>
        </w:tc>
        <w:tc>
          <w:tcPr>
            <w:tcW w:w="7502" w:type="dxa"/>
            <w:gridSpan w:val="3"/>
            <w:tcBorders>
              <w:top w:val="single" w:color="auto" w:sz="6" w:space="0"/>
              <w:left w:val="single" w:color="auto" w:sz="6" w:space="0"/>
              <w:bottom w:val="single" w:color="auto" w:sz="6" w:space="0"/>
              <w:right w:val="single" w:color="auto" w:sz="8" w:space="0"/>
            </w:tcBorders>
            <w:noWrap/>
            <w:vAlign w:val="center"/>
          </w:tcPr>
          <w:p w14:paraId="788F5105">
            <w:pPr>
              <w:spacing w:line="360" w:lineRule="auto"/>
              <w:rPr>
                <w:rFonts w:ascii="宋体" w:hAnsi="宋体"/>
                <w:szCs w:val="21"/>
              </w:rPr>
            </w:pPr>
            <w:r>
              <w:rPr>
                <w:rFonts w:hint="eastAsia" w:ascii="宋体" w:hAnsi="宋体"/>
                <w:szCs w:val="21"/>
              </w:rPr>
              <w:t>□质量 □时间 □服务 □价格 □其他_________________</w:t>
            </w:r>
          </w:p>
        </w:tc>
      </w:tr>
      <w:tr w14:paraId="4469F69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96" w:type="dxa"/>
            <w:tcBorders>
              <w:top w:val="single" w:color="auto" w:sz="6" w:space="0"/>
              <w:left w:val="single" w:color="auto" w:sz="8" w:space="0"/>
              <w:bottom w:val="single" w:color="auto" w:sz="6" w:space="0"/>
              <w:right w:val="single" w:color="auto" w:sz="6" w:space="0"/>
            </w:tcBorders>
            <w:noWrap/>
            <w:vAlign w:val="center"/>
          </w:tcPr>
          <w:p w14:paraId="37A9391C">
            <w:pPr>
              <w:spacing w:line="360" w:lineRule="auto"/>
              <w:rPr>
                <w:rFonts w:ascii="宋体" w:hAnsi="宋体"/>
                <w:szCs w:val="21"/>
              </w:rPr>
            </w:pPr>
            <w:r>
              <w:rPr>
                <w:rFonts w:hint="eastAsia" w:ascii="宋体" w:hAnsi="宋体"/>
                <w:szCs w:val="21"/>
              </w:rPr>
              <w:t>具体情况</w:t>
            </w:r>
          </w:p>
        </w:tc>
        <w:tc>
          <w:tcPr>
            <w:tcW w:w="7502" w:type="dxa"/>
            <w:gridSpan w:val="3"/>
            <w:tcBorders>
              <w:top w:val="single" w:color="auto" w:sz="6" w:space="0"/>
              <w:left w:val="single" w:color="auto" w:sz="6" w:space="0"/>
              <w:bottom w:val="single" w:color="auto" w:sz="6" w:space="0"/>
              <w:right w:val="single" w:color="auto" w:sz="8" w:space="0"/>
            </w:tcBorders>
            <w:noWrap/>
            <w:vAlign w:val="center"/>
          </w:tcPr>
          <w:p w14:paraId="158E813F">
            <w:pPr>
              <w:spacing w:line="360" w:lineRule="auto"/>
              <w:rPr>
                <w:rFonts w:ascii="宋体" w:hAnsi="宋体"/>
                <w:szCs w:val="21"/>
              </w:rPr>
            </w:pPr>
          </w:p>
        </w:tc>
      </w:tr>
      <w:tr w14:paraId="512B4EE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1596" w:type="dxa"/>
            <w:tcBorders>
              <w:top w:val="single" w:color="auto" w:sz="4" w:space="0"/>
              <w:left w:val="single" w:color="auto" w:sz="8" w:space="0"/>
              <w:bottom w:val="single" w:color="auto" w:sz="8" w:space="0"/>
              <w:right w:val="single" w:color="auto" w:sz="6" w:space="0"/>
            </w:tcBorders>
            <w:noWrap/>
            <w:vAlign w:val="center"/>
          </w:tcPr>
          <w:p w14:paraId="02A6B85D">
            <w:pPr>
              <w:spacing w:line="360" w:lineRule="auto"/>
              <w:rPr>
                <w:rFonts w:ascii="宋体" w:hAnsi="宋体"/>
                <w:szCs w:val="21"/>
              </w:rPr>
            </w:pPr>
            <w:r>
              <w:rPr>
                <w:rFonts w:hint="eastAsia" w:ascii="宋体" w:hAnsi="宋体"/>
                <w:szCs w:val="21"/>
              </w:rPr>
              <w:t>收货方签名</w:t>
            </w:r>
          </w:p>
        </w:tc>
        <w:tc>
          <w:tcPr>
            <w:tcW w:w="2349" w:type="dxa"/>
            <w:tcBorders>
              <w:top w:val="single" w:color="auto" w:sz="4" w:space="0"/>
              <w:left w:val="single" w:color="auto" w:sz="6" w:space="0"/>
              <w:bottom w:val="single" w:color="auto" w:sz="8" w:space="0"/>
              <w:right w:val="single" w:color="auto" w:sz="4" w:space="0"/>
            </w:tcBorders>
            <w:noWrap/>
            <w:vAlign w:val="center"/>
          </w:tcPr>
          <w:p w14:paraId="26132768">
            <w:pPr>
              <w:spacing w:line="360" w:lineRule="auto"/>
              <w:rPr>
                <w:rFonts w:ascii="宋体" w:hAnsi="宋体"/>
                <w:szCs w:val="21"/>
              </w:rPr>
            </w:pPr>
          </w:p>
        </w:tc>
        <w:tc>
          <w:tcPr>
            <w:tcW w:w="1843" w:type="dxa"/>
            <w:tcBorders>
              <w:top w:val="single" w:color="auto" w:sz="4" w:space="0"/>
              <w:left w:val="single" w:color="auto" w:sz="4" w:space="0"/>
              <w:bottom w:val="single" w:color="auto" w:sz="8" w:space="0"/>
              <w:right w:val="single" w:color="auto" w:sz="4" w:space="0"/>
            </w:tcBorders>
            <w:noWrap/>
            <w:vAlign w:val="center"/>
          </w:tcPr>
          <w:p w14:paraId="2498BDF5">
            <w:pPr>
              <w:spacing w:line="360" w:lineRule="auto"/>
              <w:rPr>
                <w:rFonts w:ascii="宋体" w:hAnsi="宋体"/>
                <w:szCs w:val="21"/>
              </w:rPr>
            </w:pPr>
            <w:r>
              <w:rPr>
                <w:rFonts w:hint="eastAsia" w:ascii="宋体" w:hAnsi="宋体"/>
                <w:szCs w:val="21"/>
              </w:rPr>
              <w:t>供货负责人签名</w:t>
            </w:r>
          </w:p>
        </w:tc>
        <w:tc>
          <w:tcPr>
            <w:tcW w:w="3310" w:type="dxa"/>
            <w:tcBorders>
              <w:top w:val="single" w:color="auto" w:sz="4" w:space="0"/>
              <w:left w:val="single" w:color="auto" w:sz="4" w:space="0"/>
              <w:bottom w:val="single" w:color="auto" w:sz="8" w:space="0"/>
              <w:right w:val="single" w:color="auto" w:sz="8" w:space="0"/>
            </w:tcBorders>
            <w:noWrap/>
            <w:vAlign w:val="center"/>
          </w:tcPr>
          <w:p w14:paraId="3DB413EB">
            <w:pPr>
              <w:spacing w:line="360" w:lineRule="auto"/>
              <w:rPr>
                <w:rFonts w:ascii="宋体" w:hAnsi="宋体"/>
                <w:szCs w:val="21"/>
              </w:rPr>
            </w:pPr>
          </w:p>
        </w:tc>
      </w:tr>
    </w:tbl>
    <w:p w14:paraId="65027071">
      <w:pPr>
        <w:snapToGrid w:val="0"/>
        <w:spacing w:line="360" w:lineRule="auto"/>
        <w:ind w:firstLine="420" w:firstLineChars="200"/>
        <w:rPr>
          <w:rFonts w:ascii="宋体" w:hAnsi="宋体"/>
          <w:szCs w:val="21"/>
        </w:rPr>
      </w:pPr>
      <w:r>
        <w:rPr>
          <w:rFonts w:hint="eastAsia" w:ascii="宋体" w:hAnsi="宋体"/>
          <w:szCs w:val="21"/>
        </w:rPr>
        <w:t>说明：履约异常情况分为质量、时间、服务、价格、其他共五类，请首先在对应的类别前打“√”，然后在“具体情况”一栏详细说明情况。本表格一式两联，供应商及收货方各执一联。</w:t>
      </w:r>
    </w:p>
    <w:p w14:paraId="46D0C92F">
      <w:pPr>
        <w:snapToGrid w:val="0"/>
        <w:spacing w:line="360" w:lineRule="auto"/>
        <w:rPr>
          <w:rFonts w:ascii="宋体" w:hAnsi="宋体"/>
          <w:szCs w:val="21"/>
        </w:rPr>
      </w:pPr>
    </w:p>
    <w:p w14:paraId="712771D5">
      <w:pPr>
        <w:snapToGrid w:val="0"/>
        <w:spacing w:line="360" w:lineRule="auto"/>
        <w:ind w:firstLine="422" w:firstLineChars="200"/>
        <w:jc w:val="center"/>
        <w:rPr>
          <w:rFonts w:ascii="宋体" w:hAnsi="宋体"/>
          <w:b/>
          <w:bCs/>
          <w:szCs w:val="21"/>
        </w:rPr>
      </w:pPr>
      <w:r>
        <w:rPr>
          <w:rFonts w:hint="eastAsia" w:ascii="宋体" w:hAnsi="宋体"/>
          <w:b/>
          <w:bCs/>
          <w:szCs w:val="21"/>
        </w:rPr>
        <w:t>附件2 ：食堂物资采购反馈情况表</w:t>
      </w:r>
    </w:p>
    <w:tbl>
      <w:tblPr>
        <w:tblStyle w:val="44"/>
        <w:tblW w:w="91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5"/>
        <w:gridCol w:w="1612"/>
        <w:gridCol w:w="1485"/>
        <w:gridCol w:w="1505"/>
        <w:gridCol w:w="618"/>
        <w:gridCol w:w="739"/>
        <w:gridCol w:w="1477"/>
      </w:tblGrid>
      <w:tr w14:paraId="02760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5" w:type="dxa"/>
            <w:tcBorders>
              <w:top w:val="single" w:color="auto" w:sz="4" w:space="0"/>
              <w:left w:val="single" w:color="auto" w:sz="4" w:space="0"/>
              <w:bottom w:val="single" w:color="auto" w:sz="4" w:space="0"/>
              <w:right w:val="single" w:color="auto" w:sz="4" w:space="0"/>
            </w:tcBorders>
            <w:noWrap/>
            <w:vAlign w:val="center"/>
          </w:tcPr>
          <w:p w14:paraId="26DB32CE">
            <w:pPr>
              <w:spacing w:line="360" w:lineRule="auto"/>
              <w:rPr>
                <w:rFonts w:ascii="宋体" w:hAnsi="宋体"/>
                <w:szCs w:val="21"/>
              </w:rPr>
            </w:pPr>
            <w:r>
              <w:rPr>
                <w:rFonts w:hint="eastAsia" w:ascii="宋体" w:hAnsi="宋体"/>
                <w:szCs w:val="21"/>
              </w:rPr>
              <w:t>中标供应商</w:t>
            </w:r>
          </w:p>
        </w:tc>
        <w:tc>
          <w:tcPr>
            <w:tcW w:w="3097" w:type="dxa"/>
            <w:gridSpan w:val="2"/>
            <w:tcBorders>
              <w:top w:val="single" w:color="auto" w:sz="4" w:space="0"/>
              <w:left w:val="single" w:color="auto" w:sz="4" w:space="0"/>
              <w:bottom w:val="single" w:color="auto" w:sz="4" w:space="0"/>
              <w:right w:val="single" w:color="auto" w:sz="4" w:space="0"/>
            </w:tcBorders>
            <w:noWrap/>
            <w:vAlign w:val="center"/>
          </w:tcPr>
          <w:p w14:paraId="1A5FB3E2">
            <w:pPr>
              <w:spacing w:line="360" w:lineRule="auto"/>
              <w:rPr>
                <w:rFonts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noWrap/>
            <w:vAlign w:val="center"/>
          </w:tcPr>
          <w:p w14:paraId="7738B533">
            <w:pPr>
              <w:spacing w:line="360" w:lineRule="auto"/>
              <w:rPr>
                <w:rFonts w:ascii="宋体" w:hAnsi="宋体"/>
                <w:szCs w:val="21"/>
              </w:rPr>
            </w:pPr>
            <w:r>
              <w:rPr>
                <w:rFonts w:hint="eastAsia" w:ascii="宋体" w:hAnsi="宋体"/>
                <w:szCs w:val="21"/>
              </w:rPr>
              <w:t>供应商联系人及电话</w:t>
            </w:r>
          </w:p>
        </w:tc>
        <w:tc>
          <w:tcPr>
            <w:tcW w:w="2216" w:type="dxa"/>
            <w:gridSpan w:val="2"/>
            <w:tcBorders>
              <w:top w:val="single" w:color="auto" w:sz="4" w:space="0"/>
              <w:left w:val="single" w:color="auto" w:sz="4" w:space="0"/>
              <w:bottom w:val="single" w:color="auto" w:sz="4" w:space="0"/>
              <w:right w:val="single" w:color="auto" w:sz="4" w:space="0"/>
            </w:tcBorders>
            <w:noWrap/>
            <w:vAlign w:val="center"/>
          </w:tcPr>
          <w:p w14:paraId="4E360627">
            <w:pPr>
              <w:spacing w:line="360" w:lineRule="auto"/>
              <w:rPr>
                <w:rFonts w:ascii="宋体" w:hAnsi="宋体"/>
                <w:szCs w:val="21"/>
              </w:rPr>
            </w:pPr>
          </w:p>
        </w:tc>
      </w:tr>
      <w:tr w14:paraId="16710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5" w:type="dxa"/>
            <w:tcBorders>
              <w:top w:val="single" w:color="auto" w:sz="4" w:space="0"/>
              <w:left w:val="single" w:color="auto" w:sz="4" w:space="0"/>
              <w:bottom w:val="single" w:color="auto" w:sz="4" w:space="0"/>
              <w:right w:val="single" w:color="auto" w:sz="4" w:space="0"/>
            </w:tcBorders>
            <w:noWrap/>
            <w:vAlign w:val="center"/>
          </w:tcPr>
          <w:p w14:paraId="71FCBE30">
            <w:pPr>
              <w:spacing w:line="360" w:lineRule="auto"/>
              <w:rPr>
                <w:rFonts w:ascii="宋体" w:hAnsi="宋体"/>
                <w:szCs w:val="21"/>
              </w:rPr>
            </w:pPr>
            <w:r>
              <w:rPr>
                <w:rFonts w:hint="eastAsia" w:ascii="宋体" w:hAnsi="宋体"/>
                <w:szCs w:val="21"/>
              </w:rPr>
              <w:t>合同履约时间</w:t>
            </w:r>
          </w:p>
        </w:tc>
        <w:tc>
          <w:tcPr>
            <w:tcW w:w="3097" w:type="dxa"/>
            <w:gridSpan w:val="2"/>
            <w:tcBorders>
              <w:top w:val="single" w:color="auto" w:sz="4" w:space="0"/>
              <w:left w:val="single" w:color="auto" w:sz="4" w:space="0"/>
              <w:bottom w:val="single" w:color="auto" w:sz="4" w:space="0"/>
              <w:right w:val="single" w:color="auto" w:sz="4" w:space="0"/>
            </w:tcBorders>
            <w:noWrap/>
            <w:vAlign w:val="center"/>
          </w:tcPr>
          <w:p w14:paraId="29BB99D7">
            <w:pPr>
              <w:spacing w:line="360" w:lineRule="auto"/>
              <w:rPr>
                <w:rFonts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noWrap/>
            <w:vAlign w:val="center"/>
          </w:tcPr>
          <w:p w14:paraId="20E8BB96">
            <w:pPr>
              <w:spacing w:line="360" w:lineRule="auto"/>
              <w:rPr>
                <w:rFonts w:ascii="宋体" w:hAnsi="宋体"/>
                <w:szCs w:val="21"/>
              </w:rPr>
            </w:pPr>
            <w:r>
              <w:rPr>
                <w:rFonts w:hint="eastAsia" w:ascii="宋体" w:hAnsi="宋体"/>
                <w:szCs w:val="21"/>
              </w:rPr>
              <w:t>反馈月份</w:t>
            </w:r>
          </w:p>
        </w:tc>
        <w:tc>
          <w:tcPr>
            <w:tcW w:w="2216" w:type="dxa"/>
            <w:gridSpan w:val="2"/>
            <w:tcBorders>
              <w:top w:val="single" w:color="auto" w:sz="4" w:space="0"/>
              <w:left w:val="single" w:color="auto" w:sz="4" w:space="0"/>
              <w:bottom w:val="single" w:color="auto" w:sz="4" w:space="0"/>
              <w:right w:val="single" w:color="auto" w:sz="4" w:space="0"/>
            </w:tcBorders>
            <w:noWrap/>
            <w:vAlign w:val="center"/>
          </w:tcPr>
          <w:p w14:paraId="4D14EF44">
            <w:pPr>
              <w:spacing w:line="360" w:lineRule="auto"/>
              <w:rPr>
                <w:rFonts w:ascii="宋体" w:hAnsi="宋体"/>
                <w:szCs w:val="21"/>
              </w:rPr>
            </w:pPr>
          </w:p>
        </w:tc>
      </w:tr>
      <w:tr w14:paraId="47E14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07C4C49E">
            <w:pPr>
              <w:spacing w:line="360" w:lineRule="auto"/>
              <w:jc w:val="center"/>
              <w:rPr>
                <w:rFonts w:ascii="宋体" w:hAnsi="宋体"/>
                <w:szCs w:val="21"/>
              </w:rPr>
            </w:pPr>
            <w:r>
              <w:rPr>
                <w:rFonts w:hint="eastAsia" w:ascii="宋体" w:hAnsi="宋体"/>
                <w:szCs w:val="21"/>
              </w:rPr>
              <w:t>履约情况评价</w:t>
            </w:r>
          </w:p>
        </w:tc>
        <w:tc>
          <w:tcPr>
            <w:tcW w:w="1612"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232C3861">
            <w:pPr>
              <w:spacing w:line="360" w:lineRule="auto"/>
              <w:jc w:val="center"/>
              <w:rPr>
                <w:rFonts w:ascii="宋体" w:hAnsi="宋体"/>
                <w:szCs w:val="21"/>
              </w:rPr>
            </w:pPr>
            <w:r>
              <w:rPr>
                <w:rFonts w:hint="eastAsia" w:ascii="宋体" w:hAnsi="宋体"/>
                <w:szCs w:val="21"/>
              </w:rPr>
              <w:t>分项评价</w:t>
            </w:r>
          </w:p>
        </w:tc>
        <w:tc>
          <w:tcPr>
            <w:tcW w:w="1485" w:type="dxa"/>
            <w:tcBorders>
              <w:top w:val="single" w:color="auto" w:sz="4" w:space="0"/>
              <w:left w:val="single" w:color="auto" w:sz="4" w:space="0"/>
              <w:bottom w:val="single" w:color="auto" w:sz="4" w:space="0"/>
              <w:right w:val="single" w:color="auto" w:sz="4" w:space="0"/>
            </w:tcBorders>
            <w:noWrap/>
            <w:vAlign w:val="center"/>
          </w:tcPr>
          <w:p w14:paraId="6329C212">
            <w:pPr>
              <w:spacing w:line="360" w:lineRule="auto"/>
              <w:rPr>
                <w:rFonts w:ascii="宋体" w:hAnsi="宋体"/>
                <w:szCs w:val="21"/>
              </w:rPr>
            </w:pPr>
            <w:r>
              <w:rPr>
                <w:rFonts w:hint="eastAsia" w:ascii="宋体" w:hAnsi="宋体"/>
                <w:szCs w:val="21"/>
              </w:rPr>
              <w:t>质量方面</w:t>
            </w:r>
          </w:p>
        </w:tc>
        <w:tc>
          <w:tcPr>
            <w:tcW w:w="4339" w:type="dxa"/>
            <w:gridSpan w:val="4"/>
            <w:tcBorders>
              <w:top w:val="single" w:color="auto" w:sz="4" w:space="0"/>
              <w:left w:val="single" w:color="auto" w:sz="4" w:space="0"/>
              <w:bottom w:val="single" w:color="auto" w:sz="4" w:space="0"/>
              <w:right w:val="single" w:color="auto" w:sz="4" w:space="0"/>
            </w:tcBorders>
            <w:noWrap/>
            <w:vAlign w:val="center"/>
          </w:tcPr>
          <w:p w14:paraId="7DDC7173">
            <w:pPr>
              <w:spacing w:line="360" w:lineRule="auto"/>
              <w:rPr>
                <w:rFonts w:ascii="宋体" w:hAnsi="宋体"/>
                <w:szCs w:val="21"/>
              </w:rPr>
            </w:pPr>
            <w:r>
              <w:rPr>
                <w:rFonts w:hint="eastAsia" w:ascii="宋体" w:hAnsi="宋体"/>
                <w:szCs w:val="21"/>
              </w:rPr>
              <w:t>□ 优 □ 良 □ 中 □ 差</w:t>
            </w:r>
          </w:p>
        </w:tc>
      </w:tr>
      <w:tr w14:paraId="74958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ign w:val="center"/>
          </w:tcPr>
          <w:p w14:paraId="1B89BD74">
            <w:pPr>
              <w:spacing w:line="360" w:lineRule="auto"/>
              <w:rPr>
                <w:rFonts w:ascii="宋体" w:hAnsi="宋体"/>
                <w:szCs w:val="21"/>
              </w:rPr>
            </w:pPr>
          </w:p>
        </w:tc>
        <w:tc>
          <w:tcPr>
            <w:tcW w:w="1612" w:type="dxa"/>
            <w:vMerge w:val="continue"/>
            <w:tcBorders>
              <w:top w:val="single" w:color="auto" w:sz="4" w:space="0"/>
              <w:left w:val="single" w:color="auto" w:sz="4" w:space="0"/>
              <w:bottom w:val="single" w:color="auto" w:sz="4" w:space="0"/>
              <w:right w:val="single" w:color="auto" w:sz="4" w:space="0"/>
            </w:tcBorders>
            <w:noWrap/>
            <w:vAlign w:val="center"/>
          </w:tcPr>
          <w:p w14:paraId="2FB9974B">
            <w:pPr>
              <w:spacing w:line="360" w:lineRule="auto"/>
              <w:rPr>
                <w:rFonts w:ascii="宋体" w:hAnsi="宋体"/>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7BF59D38">
            <w:pPr>
              <w:spacing w:line="360" w:lineRule="auto"/>
              <w:rPr>
                <w:rFonts w:ascii="宋体" w:hAnsi="宋体"/>
                <w:szCs w:val="21"/>
              </w:rPr>
            </w:pPr>
            <w:r>
              <w:rPr>
                <w:rFonts w:hint="eastAsia" w:ascii="宋体" w:hAnsi="宋体"/>
                <w:szCs w:val="21"/>
              </w:rPr>
              <w:t>价格方面</w:t>
            </w:r>
          </w:p>
        </w:tc>
        <w:tc>
          <w:tcPr>
            <w:tcW w:w="4339" w:type="dxa"/>
            <w:gridSpan w:val="4"/>
            <w:tcBorders>
              <w:top w:val="single" w:color="auto" w:sz="4" w:space="0"/>
              <w:left w:val="single" w:color="auto" w:sz="4" w:space="0"/>
              <w:bottom w:val="single" w:color="auto" w:sz="4" w:space="0"/>
              <w:right w:val="single" w:color="auto" w:sz="4" w:space="0"/>
            </w:tcBorders>
            <w:noWrap/>
            <w:vAlign w:val="center"/>
          </w:tcPr>
          <w:p w14:paraId="54481390">
            <w:pPr>
              <w:spacing w:line="360" w:lineRule="auto"/>
              <w:rPr>
                <w:rFonts w:ascii="宋体" w:hAnsi="宋体"/>
                <w:szCs w:val="21"/>
              </w:rPr>
            </w:pPr>
            <w:r>
              <w:rPr>
                <w:rFonts w:hint="eastAsia" w:ascii="宋体" w:hAnsi="宋体"/>
                <w:szCs w:val="21"/>
              </w:rPr>
              <w:t>□ 优 □ 良 □ 中 □ 差</w:t>
            </w:r>
          </w:p>
        </w:tc>
      </w:tr>
      <w:tr w14:paraId="555AE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ign w:val="center"/>
          </w:tcPr>
          <w:p w14:paraId="6BF35202">
            <w:pPr>
              <w:spacing w:line="360" w:lineRule="auto"/>
              <w:rPr>
                <w:rFonts w:ascii="宋体" w:hAnsi="宋体"/>
                <w:szCs w:val="21"/>
              </w:rPr>
            </w:pPr>
          </w:p>
        </w:tc>
        <w:tc>
          <w:tcPr>
            <w:tcW w:w="1612" w:type="dxa"/>
            <w:vMerge w:val="continue"/>
            <w:tcBorders>
              <w:top w:val="single" w:color="auto" w:sz="4" w:space="0"/>
              <w:left w:val="single" w:color="auto" w:sz="4" w:space="0"/>
              <w:bottom w:val="single" w:color="auto" w:sz="4" w:space="0"/>
              <w:right w:val="single" w:color="auto" w:sz="4" w:space="0"/>
            </w:tcBorders>
            <w:noWrap/>
            <w:vAlign w:val="center"/>
          </w:tcPr>
          <w:p w14:paraId="0DD98163">
            <w:pPr>
              <w:spacing w:line="360" w:lineRule="auto"/>
              <w:rPr>
                <w:rFonts w:ascii="宋体" w:hAnsi="宋体"/>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1688FD80">
            <w:pPr>
              <w:spacing w:line="360" w:lineRule="auto"/>
              <w:rPr>
                <w:rFonts w:ascii="宋体" w:hAnsi="宋体"/>
                <w:szCs w:val="21"/>
              </w:rPr>
            </w:pPr>
            <w:r>
              <w:rPr>
                <w:rFonts w:hint="eastAsia" w:ascii="宋体" w:hAnsi="宋体"/>
                <w:szCs w:val="21"/>
              </w:rPr>
              <w:t>服务方面</w:t>
            </w:r>
          </w:p>
        </w:tc>
        <w:tc>
          <w:tcPr>
            <w:tcW w:w="4339" w:type="dxa"/>
            <w:gridSpan w:val="4"/>
            <w:tcBorders>
              <w:top w:val="single" w:color="auto" w:sz="4" w:space="0"/>
              <w:left w:val="single" w:color="auto" w:sz="4" w:space="0"/>
              <w:bottom w:val="single" w:color="auto" w:sz="4" w:space="0"/>
              <w:right w:val="single" w:color="auto" w:sz="4" w:space="0"/>
            </w:tcBorders>
            <w:noWrap/>
            <w:vAlign w:val="center"/>
          </w:tcPr>
          <w:p w14:paraId="6B10A861">
            <w:pPr>
              <w:spacing w:line="360" w:lineRule="auto"/>
              <w:rPr>
                <w:rFonts w:ascii="宋体" w:hAnsi="宋体"/>
                <w:szCs w:val="21"/>
              </w:rPr>
            </w:pPr>
            <w:r>
              <w:rPr>
                <w:rFonts w:hint="eastAsia" w:ascii="宋体" w:hAnsi="宋体"/>
                <w:szCs w:val="21"/>
              </w:rPr>
              <w:t>□ 优 □ 良 □ 中 □ 差</w:t>
            </w:r>
          </w:p>
        </w:tc>
      </w:tr>
      <w:tr w14:paraId="02882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ign w:val="center"/>
          </w:tcPr>
          <w:p w14:paraId="13A35A33">
            <w:pPr>
              <w:spacing w:line="360" w:lineRule="auto"/>
              <w:rPr>
                <w:rFonts w:ascii="宋体" w:hAnsi="宋体"/>
                <w:szCs w:val="21"/>
              </w:rPr>
            </w:pPr>
          </w:p>
        </w:tc>
        <w:tc>
          <w:tcPr>
            <w:tcW w:w="1612" w:type="dxa"/>
            <w:vMerge w:val="continue"/>
            <w:tcBorders>
              <w:top w:val="single" w:color="auto" w:sz="4" w:space="0"/>
              <w:left w:val="single" w:color="auto" w:sz="4" w:space="0"/>
              <w:bottom w:val="single" w:color="auto" w:sz="4" w:space="0"/>
              <w:right w:val="single" w:color="auto" w:sz="4" w:space="0"/>
            </w:tcBorders>
            <w:noWrap/>
            <w:vAlign w:val="center"/>
          </w:tcPr>
          <w:p w14:paraId="6D3C290D">
            <w:pPr>
              <w:spacing w:line="360" w:lineRule="auto"/>
              <w:rPr>
                <w:rFonts w:ascii="宋体" w:hAnsi="宋体"/>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00D1524C">
            <w:pPr>
              <w:spacing w:line="360" w:lineRule="auto"/>
              <w:rPr>
                <w:rFonts w:ascii="宋体" w:hAnsi="宋体"/>
                <w:szCs w:val="21"/>
              </w:rPr>
            </w:pPr>
            <w:r>
              <w:rPr>
                <w:rFonts w:hint="eastAsia" w:ascii="宋体" w:hAnsi="宋体"/>
                <w:szCs w:val="21"/>
              </w:rPr>
              <w:t>时间方面</w:t>
            </w:r>
          </w:p>
        </w:tc>
        <w:tc>
          <w:tcPr>
            <w:tcW w:w="4339" w:type="dxa"/>
            <w:gridSpan w:val="4"/>
            <w:tcBorders>
              <w:top w:val="single" w:color="auto" w:sz="4" w:space="0"/>
              <w:left w:val="single" w:color="auto" w:sz="4" w:space="0"/>
              <w:bottom w:val="single" w:color="auto" w:sz="4" w:space="0"/>
              <w:right w:val="single" w:color="auto" w:sz="4" w:space="0"/>
            </w:tcBorders>
            <w:noWrap/>
            <w:vAlign w:val="center"/>
          </w:tcPr>
          <w:p w14:paraId="64DA3BDF">
            <w:pPr>
              <w:spacing w:line="360" w:lineRule="auto"/>
              <w:rPr>
                <w:rFonts w:ascii="宋体" w:hAnsi="宋体"/>
                <w:szCs w:val="21"/>
              </w:rPr>
            </w:pPr>
            <w:r>
              <w:rPr>
                <w:rFonts w:hint="eastAsia" w:ascii="宋体" w:hAnsi="宋体"/>
                <w:szCs w:val="21"/>
              </w:rPr>
              <w:t>□ 优 □ 良 □ 中 □ 差</w:t>
            </w:r>
          </w:p>
        </w:tc>
      </w:tr>
      <w:tr w14:paraId="20872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ign w:val="center"/>
          </w:tcPr>
          <w:p w14:paraId="1562166C">
            <w:pPr>
              <w:spacing w:line="360" w:lineRule="auto"/>
              <w:rPr>
                <w:rFonts w:ascii="宋体" w:hAnsi="宋体"/>
                <w:szCs w:val="21"/>
              </w:rPr>
            </w:pPr>
          </w:p>
        </w:tc>
        <w:tc>
          <w:tcPr>
            <w:tcW w:w="1612" w:type="dxa"/>
            <w:vMerge w:val="continue"/>
            <w:tcBorders>
              <w:top w:val="single" w:color="auto" w:sz="4" w:space="0"/>
              <w:left w:val="single" w:color="auto" w:sz="4" w:space="0"/>
              <w:bottom w:val="single" w:color="auto" w:sz="4" w:space="0"/>
              <w:right w:val="single" w:color="auto" w:sz="4" w:space="0"/>
            </w:tcBorders>
            <w:noWrap/>
            <w:vAlign w:val="center"/>
          </w:tcPr>
          <w:p w14:paraId="630B1C82">
            <w:pPr>
              <w:spacing w:line="360" w:lineRule="auto"/>
              <w:rPr>
                <w:rFonts w:ascii="宋体" w:hAnsi="宋体"/>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0A2FA69D">
            <w:pPr>
              <w:spacing w:line="360" w:lineRule="auto"/>
              <w:rPr>
                <w:rFonts w:ascii="宋体" w:hAnsi="宋体"/>
                <w:szCs w:val="21"/>
              </w:rPr>
            </w:pPr>
            <w:r>
              <w:rPr>
                <w:rFonts w:hint="eastAsia" w:ascii="宋体" w:hAnsi="宋体"/>
                <w:szCs w:val="21"/>
              </w:rPr>
              <w:t>环境保护</w:t>
            </w:r>
          </w:p>
        </w:tc>
        <w:tc>
          <w:tcPr>
            <w:tcW w:w="4339" w:type="dxa"/>
            <w:gridSpan w:val="4"/>
            <w:tcBorders>
              <w:top w:val="single" w:color="auto" w:sz="4" w:space="0"/>
              <w:left w:val="single" w:color="auto" w:sz="4" w:space="0"/>
              <w:bottom w:val="single" w:color="auto" w:sz="4" w:space="0"/>
              <w:right w:val="single" w:color="auto" w:sz="4" w:space="0"/>
            </w:tcBorders>
            <w:noWrap/>
            <w:vAlign w:val="center"/>
          </w:tcPr>
          <w:p w14:paraId="3E9EFA82">
            <w:pPr>
              <w:spacing w:line="360" w:lineRule="auto"/>
              <w:rPr>
                <w:rFonts w:ascii="宋体" w:hAnsi="宋体"/>
                <w:szCs w:val="21"/>
              </w:rPr>
            </w:pPr>
            <w:r>
              <w:rPr>
                <w:rFonts w:hint="eastAsia" w:ascii="宋体" w:hAnsi="宋体"/>
                <w:szCs w:val="21"/>
              </w:rPr>
              <w:t>□ 优 □ 良 □ 中 □ 差</w:t>
            </w:r>
          </w:p>
        </w:tc>
      </w:tr>
      <w:tr w14:paraId="6006E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ign w:val="center"/>
          </w:tcPr>
          <w:p w14:paraId="676DC063">
            <w:pPr>
              <w:spacing w:line="360" w:lineRule="auto"/>
              <w:rPr>
                <w:rFonts w:ascii="宋体" w:hAnsi="宋体"/>
                <w:szCs w:val="21"/>
              </w:rPr>
            </w:pPr>
          </w:p>
        </w:tc>
        <w:tc>
          <w:tcPr>
            <w:tcW w:w="1612" w:type="dxa"/>
            <w:vMerge w:val="continue"/>
            <w:tcBorders>
              <w:top w:val="single" w:color="auto" w:sz="4" w:space="0"/>
              <w:left w:val="single" w:color="auto" w:sz="4" w:space="0"/>
              <w:bottom w:val="single" w:color="auto" w:sz="4" w:space="0"/>
              <w:right w:val="single" w:color="auto" w:sz="4" w:space="0"/>
            </w:tcBorders>
            <w:noWrap/>
            <w:vAlign w:val="center"/>
          </w:tcPr>
          <w:p w14:paraId="1C69183F">
            <w:pPr>
              <w:spacing w:line="360" w:lineRule="auto"/>
              <w:rPr>
                <w:rFonts w:ascii="宋体" w:hAnsi="宋体"/>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5015E9BA">
            <w:pPr>
              <w:spacing w:line="360" w:lineRule="auto"/>
              <w:rPr>
                <w:rFonts w:ascii="宋体" w:hAnsi="宋体"/>
                <w:szCs w:val="21"/>
              </w:rPr>
            </w:pPr>
            <w:r>
              <w:rPr>
                <w:rFonts w:hint="eastAsia" w:ascii="宋体" w:hAnsi="宋体"/>
                <w:szCs w:val="21"/>
              </w:rPr>
              <w:t>其他</w:t>
            </w:r>
          </w:p>
        </w:tc>
        <w:tc>
          <w:tcPr>
            <w:tcW w:w="4339" w:type="dxa"/>
            <w:gridSpan w:val="4"/>
            <w:tcBorders>
              <w:top w:val="single" w:color="auto" w:sz="4" w:space="0"/>
              <w:left w:val="single" w:color="auto" w:sz="4" w:space="0"/>
              <w:bottom w:val="single" w:color="auto" w:sz="4" w:space="0"/>
              <w:right w:val="single" w:color="auto" w:sz="4" w:space="0"/>
            </w:tcBorders>
            <w:noWrap/>
            <w:vAlign w:val="center"/>
          </w:tcPr>
          <w:p w14:paraId="2958389B">
            <w:pPr>
              <w:spacing w:line="360" w:lineRule="auto"/>
              <w:rPr>
                <w:rFonts w:ascii="宋体" w:hAnsi="宋体"/>
                <w:szCs w:val="21"/>
              </w:rPr>
            </w:pPr>
            <w:r>
              <w:rPr>
                <w:rFonts w:hint="eastAsia" w:ascii="宋体" w:hAnsi="宋体"/>
                <w:szCs w:val="21"/>
              </w:rPr>
              <w:t>评价内容为：</w:t>
            </w:r>
          </w:p>
          <w:p w14:paraId="751C99BC">
            <w:pPr>
              <w:spacing w:line="360" w:lineRule="auto"/>
              <w:rPr>
                <w:rFonts w:ascii="宋体" w:hAnsi="宋体"/>
                <w:szCs w:val="21"/>
              </w:rPr>
            </w:pPr>
            <w:r>
              <w:rPr>
                <w:rFonts w:hint="eastAsia" w:ascii="宋体" w:hAnsi="宋体"/>
                <w:szCs w:val="21"/>
              </w:rPr>
              <w:t>□ 优 □ 良 □ 中 □ 差</w:t>
            </w:r>
          </w:p>
        </w:tc>
      </w:tr>
      <w:tr w14:paraId="5D9DB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ign w:val="center"/>
          </w:tcPr>
          <w:p w14:paraId="2EEF34CC">
            <w:pPr>
              <w:spacing w:line="360" w:lineRule="auto"/>
              <w:rPr>
                <w:rFonts w:ascii="宋体" w:hAnsi="宋体"/>
                <w:szCs w:val="21"/>
              </w:rPr>
            </w:pPr>
          </w:p>
        </w:tc>
        <w:tc>
          <w:tcPr>
            <w:tcW w:w="3097" w:type="dxa"/>
            <w:gridSpan w:val="2"/>
            <w:tcBorders>
              <w:top w:val="single" w:color="auto" w:sz="4" w:space="0"/>
              <w:left w:val="single" w:color="auto" w:sz="4" w:space="0"/>
              <w:bottom w:val="single" w:color="auto" w:sz="4" w:space="0"/>
              <w:right w:val="single" w:color="auto" w:sz="4" w:space="0"/>
            </w:tcBorders>
            <w:noWrap/>
            <w:vAlign w:val="center"/>
          </w:tcPr>
          <w:p w14:paraId="5CACF692">
            <w:pPr>
              <w:spacing w:line="360" w:lineRule="auto"/>
              <w:rPr>
                <w:rFonts w:ascii="宋体" w:hAnsi="宋体"/>
                <w:szCs w:val="21"/>
              </w:rPr>
            </w:pPr>
            <w:r>
              <w:rPr>
                <w:rFonts w:hint="eastAsia" w:ascii="宋体" w:hAnsi="宋体"/>
                <w:szCs w:val="21"/>
              </w:rPr>
              <w:t>履约总体评价</w:t>
            </w:r>
          </w:p>
        </w:tc>
        <w:tc>
          <w:tcPr>
            <w:tcW w:w="4339" w:type="dxa"/>
            <w:gridSpan w:val="4"/>
            <w:tcBorders>
              <w:top w:val="single" w:color="auto" w:sz="4" w:space="0"/>
              <w:left w:val="single" w:color="auto" w:sz="4" w:space="0"/>
              <w:bottom w:val="single" w:color="auto" w:sz="4" w:space="0"/>
              <w:right w:val="single" w:color="auto" w:sz="4" w:space="0"/>
            </w:tcBorders>
            <w:noWrap/>
            <w:vAlign w:val="center"/>
          </w:tcPr>
          <w:p w14:paraId="05BEDF66">
            <w:pPr>
              <w:spacing w:line="360" w:lineRule="auto"/>
              <w:rPr>
                <w:rFonts w:ascii="宋体" w:hAnsi="宋体"/>
                <w:szCs w:val="21"/>
              </w:rPr>
            </w:pPr>
            <w:r>
              <w:rPr>
                <w:rFonts w:hint="eastAsia" w:ascii="宋体" w:hAnsi="宋体"/>
                <w:szCs w:val="21"/>
              </w:rPr>
              <w:t>□ 优 □ 良 □ 中 □ 差</w:t>
            </w:r>
          </w:p>
        </w:tc>
      </w:tr>
      <w:tr w14:paraId="224F3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705" w:type="dxa"/>
            <w:tcBorders>
              <w:top w:val="single" w:color="auto" w:sz="4" w:space="0"/>
              <w:left w:val="single" w:color="auto" w:sz="4" w:space="0"/>
              <w:bottom w:val="single" w:color="auto" w:sz="4" w:space="0"/>
              <w:right w:val="single" w:color="auto" w:sz="4" w:space="0"/>
            </w:tcBorders>
            <w:noWrap/>
            <w:vAlign w:val="center"/>
          </w:tcPr>
          <w:p w14:paraId="264CC42B">
            <w:pPr>
              <w:spacing w:line="360" w:lineRule="auto"/>
              <w:rPr>
                <w:rFonts w:ascii="宋体" w:hAnsi="宋体"/>
                <w:szCs w:val="21"/>
              </w:rPr>
            </w:pPr>
            <w:r>
              <w:rPr>
                <w:rFonts w:hint="eastAsia" w:ascii="宋体" w:hAnsi="宋体"/>
                <w:szCs w:val="21"/>
              </w:rPr>
              <w:t>突发/应急事件具体情况说明</w:t>
            </w:r>
          </w:p>
        </w:tc>
        <w:tc>
          <w:tcPr>
            <w:tcW w:w="7436" w:type="dxa"/>
            <w:gridSpan w:val="6"/>
            <w:tcBorders>
              <w:top w:val="single" w:color="auto" w:sz="4" w:space="0"/>
              <w:left w:val="single" w:color="auto" w:sz="4" w:space="0"/>
              <w:bottom w:val="single" w:color="auto" w:sz="4" w:space="0"/>
              <w:right w:val="single" w:color="auto" w:sz="4" w:space="0"/>
            </w:tcBorders>
            <w:noWrap/>
            <w:vAlign w:val="center"/>
          </w:tcPr>
          <w:p w14:paraId="775FF3AE">
            <w:pPr>
              <w:spacing w:line="360" w:lineRule="auto"/>
              <w:rPr>
                <w:rFonts w:ascii="宋体" w:hAnsi="宋体"/>
                <w:szCs w:val="21"/>
              </w:rPr>
            </w:pPr>
          </w:p>
        </w:tc>
      </w:tr>
      <w:tr w14:paraId="710A6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5" w:type="dxa"/>
            <w:vMerge w:val="restart"/>
            <w:tcBorders>
              <w:top w:val="single" w:color="auto" w:sz="4" w:space="0"/>
              <w:left w:val="single" w:color="auto" w:sz="4" w:space="0"/>
              <w:bottom w:val="single" w:color="auto" w:sz="4" w:space="0"/>
              <w:right w:val="single" w:color="auto" w:sz="4" w:space="0"/>
            </w:tcBorders>
            <w:noWrap/>
            <w:vAlign w:val="center"/>
          </w:tcPr>
          <w:p w14:paraId="0847A146">
            <w:pPr>
              <w:spacing w:line="360" w:lineRule="auto"/>
              <w:rPr>
                <w:rFonts w:ascii="宋体" w:hAnsi="宋体"/>
                <w:szCs w:val="21"/>
              </w:rPr>
            </w:pPr>
            <w:r>
              <w:rPr>
                <w:rFonts w:hint="eastAsia" w:ascii="宋体" w:hAnsi="宋体"/>
                <w:szCs w:val="21"/>
              </w:rPr>
              <w:t>对整个供应项目的完成情况意见</w:t>
            </w:r>
          </w:p>
        </w:tc>
        <w:tc>
          <w:tcPr>
            <w:tcW w:w="3097" w:type="dxa"/>
            <w:gridSpan w:val="2"/>
            <w:tcBorders>
              <w:top w:val="single" w:color="auto" w:sz="4" w:space="0"/>
              <w:left w:val="single" w:color="auto" w:sz="4" w:space="0"/>
              <w:bottom w:val="single" w:color="auto" w:sz="4" w:space="0"/>
              <w:right w:val="single" w:color="auto" w:sz="4" w:space="0"/>
            </w:tcBorders>
            <w:noWrap/>
            <w:vAlign w:val="center"/>
          </w:tcPr>
          <w:p w14:paraId="5D4C5820">
            <w:pPr>
              <w:spacing w:line="360" w:lineRule="auto"/>
              <w:rPr>
                <w:rFonts w:ascii="宋体" w:hAnsi="宋体"/>
                <w:szCs w:val="21"/>
              </w:rPr>
            </w:pPr>
            <w:r>
              <w:rPr>
                <w:rFonts w:hint="eastAsia" w:ascii="宋体" w:hAnsi="宋体"/>
                <w:szCs w:val="21"/>
              </w:rPr>
              <w:t>主要表现</w:t>
            </w:r>
          </w:p>
        </w:tc>
        <w:tc>
          <w:tcPr>
            <w:tcW w:w="4339" w:type="dxa"/>
            <w:gridSpan w:val="4"/>
            <w:tcBorders>
              <w:top w:val="single" w:color="auto" w:sz="4" w:space="0"/>
              <w:left w:val="single" w:color="auto" w:sz="4" w:space="0"/>
              <w:bottom w:val="single" w:color="auto" w:sz="4" w:space="0"/>
              <w:right w:val="single" w:color="auto" w:sz="4" w:space="0"/>
            </w:tcBorders>
            <w:noWrap/>
            <w:vAlign w:val="center"/>
          </w:tcPr>
          <w:p w14:paraId="6FDDC9B2">
            <w:pPr>
              <w:spacing w:line="360" w:lineRule="auto"/>
              <w:rPr>
                <w:rFonts w:ascii="宋体" w:hAnsi="宋体"/>
                <w:szCs w:val="21"/>
              </w:rPr>
            </w:pPr>
          </w:p>
        </w:tc>
      </w:tr>
      <w:tr w14:paraId="70FF4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ign w:val="center"/>
          </w:tcPr>
          <w:p w14:paraId="00DCA067">
            <w:pPr>
              <w:spacing w:line="360" w:lineRule="auto"/>
              <w:rPr>
                <w:rFonts w:ascii="宋体" w:hAnsi="宋体"/>
                <w:szCs w:val="21"/>
              </w:rPr>
            </w:pPr>
          </w:p>
        </w:tc>
        <w:tc>
          <w:tcPr>
            <w:tcW w:w="3097" w:type="dxa"/>
            <w:gridSpan w:val="2"/>
            <w:tcBorders>
              <w:top w:val="single" w:color="auto" w:sz="4" w:space="0"/>
              <w:left w:val="single" w:color="auto" w:sz="4" w:space="0"/>
              <w:bottom w:val="single" w:color="auto" w:sz="4" w:space="0"/>
              <w:right w:val="single" w:color="auto" w:sz="4" w:space="0"/>
            </w:tcBorders>
            <w:noWrap/>
            <w:vAlign w:val="center"/>
          </w:tcPr>
          <w:p w14:paraId="050F577F">
            <w:pPr>
              <w:spacing w:line="360" w:lineRule="auto"/>
              <w:rPr>
                <w:rFonts w:ascii="宋体" w:hAnsi="宋体"/>
                <w:szCs w:val="21"/>
              </w:rPr>
            </w:pPr>
            <w:r>
              <w:rPr>
                <w:rFonts w:hint="eastAsia" w:ascii="宋体" w:hAnsi="宋体"/>
                <w:szCs w:val="21"/>
              </w:rPr>
              <w:t>存在哪些问题</w:t>
            </w:r>
          </w:p>
        </w:tc>
        <w:tc>
          <w:tcPr>
            <w:tcW w:w="4339" w:type="dxa"/>
            <w:gridSpan w:val="4"/>
            <w:tcBorders>
              <w:top w:val="single" w:color="auto" w:sz="4" w:space="0"/>
              <w:left w:val="single" w:color="auto" w:sz="4" w:space="0"/>
              <w:bottom w:val="single" w:color="auto" w:sz="4" w:space="0"/>
              <w:right w:val="single" w:color="auto" w:sz="4" w:space="0"/>
            </w:tcBorders>
            <w:noWrap/>
            <w:vAlign w:val="center"/>
          </w:tcPr>
          <w:p w14:paraId="7D0262A1">
            <w:pPr>
              <w:spacing w:line="360" w:lineRule="auto"/>
              <w:rPr>
                <w:rFonts w:ascii="宋体" w:hAnsi="宋体"/>
                <w:szCs w:val="21"/>
              </w:rPr>
            </w:pPr>
          </w:p>
        </w:tc>
      </w:tr>
      <w:tr w14:paraId="173FF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02" w:type="dxa"/>
            <w:gridSpan w:val="3"/>
            <w:tcBorders>
              <w:top w:val="single" w:color="auto" w:sz="4" w:space="0"/>
              <w:left w:val="single" w:color="auto" w:sz="4" w:space="0"/>
              <w:bottom w:val="single" w:color="auto" w:sz="4" w:space="0"/>
              <w:right w:val="single" w:color="auto" w:sz="4" w:space="0"/>
            </w:tcBorders>
            <w:noWrap/>
            <w:vAlign w:val="center"/>
          </w:tcPr>
          <w:p w14:paraId="542EAB18">
            <w:pPr>
              <w:spacing w:line="360" w:lineRule="auto"/>
              <w:rPr>
                <w:rFonts w:ascii="宋体" w:hAnsi="宋体"/>
                <w:szCs w:val="21"/>
              </w:rPr>
            </w:pPr>
            <w:r>
              <w:rPr>
                <w:rFonts w:hint="eastAsia" w:ascii="宋体" w:hAnsi="宋体"/>
                <w:szCs w:val="21"/>
              </w:rPr>
              <w:t>对供应商的综合评分(总分100分)</w:t>
            </w:r>
          </w:p>
        </w:tc>
        <w:tc>
          <w:tcPr>
            <w:tcW w:w="1505" w:type="dxa"/>
            <w:tcBorders>
              <w:top w:val="single" w:color="auto" w:sz="4" w:space="0"/>
              <w:left w:val="single" w:color="auto" w:sz="4" w:space="0"/>
              <w:bottom w:val="single" w:color="auto" w:sz="4" w:space="0"/>
              <w:right w:val="single" w:color="auto" w:sz="4" w:space="0"/>
            </w:tcBorders>
            <w:noWrap/>
            <w:vAlign w:val="center"/>
          </w:tcPr>
          <w:p w14:paraId="4F7D8DDB">
            <w:pPr>
              <w:spacing w:line="360" w:lineRule="auto"/>
              <w:rPr>
                <w:rFonts w:ascii="宋体" w:hAnsi="宋体"/>
                <w:szCs w:val="21"/>
              </w:rPr>
            </w:pPr>
          </w:p>
        </w:tc>
        <w:tc>
          <w:tcPr>
            <w:tcW w:w="1357" w:type="dxa"/>
            <w:gridSpan w:val="2"/>
            <w:tcBorders>
              <w:top w:val="single" w:color="auto" w:sz="4" w:space="0"/>
              <w:left w:val="single" w:color="auto" w:sz="4" w:space="0"/>
              <w:bottom w:val="single" w:color="auto" w:sz="4" w:space="0"/>
              <w:right w:val="single" w:color="auto" w:sz="4" w:space="0"/>
            </w:tcBorders>
            <w:noWrap/>
            <w:vAlign w:val="center"/>
          </w:tcPr>
          <w:p w14:paraId="5081F86C">
            <w:pPr>
              <w:spacing w:line="360" w:lineRule="auto"/>
              <w:rPr>
                <w:rFonts w:ascii="宋体" w:hAnsi="宋体"/>
                <w:szCs w:val="21"/>
              </w:rPr>
            </w:pPr>
            <w:r>
              <w:rPr>
                <w:rFonts w:hint="eastAsia" w:ascii="宋体" w:hAnsi="宋体"/>
                <w:szCs w:val="21"/>
              </w:rPr>
              <w:t>得分原因</w:t>
            </w:r>
          </w:p>
        </w:tc>
        <w:tc>
          <w:tcPr>
            <w:tcW w:w="1477" w:type="dxa"/>
            <w:tcBorders>
              <w:top w:val="single" w:color="auto" w:sz="4" w:space="0"/>
              <w:left w:val="single" w:color="auto" w:sz="4" w:space="0"/>
              <w:bottom w:val="single" w:color="auto" w:sz="4" w:space="0"/>
              <w:right w:val="single" w:color="auto" w:sz="4" w:space="0"/>
            </w:tcBorders>
            <w:noWrap/>
            <w:vAlign w:val="center"/>
          </w:tcPr>
          <w:p w14:paraId="23B41214">
            <w:pPr>
              <w:spacing w:line="360" w:lineRule="auto"/>
              <w:rPr>
                <w:rFonts w:ascii="宋体" w:hAnsi="宋体"/>
                <w:szCs w:val="21"/>
              </w:rPr>
            </w:pPr>
          </w:p>
        </w:tc>
      </w:tr>
      <w:tr w14:paraId="2E58E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5" w:type="dxa"/>
            <w:tcBorders>
              <w:top w:val="single" w:color="auto" w:sz="4" w:space="0"/>
              <w:left w:val="single" w:color="auto" w:sz="4" w:space="0"/>
              <w:bottom w:val="single" w:color="auto" w:sz="4" w:space="0"/>
              <w:right w:val="single" w:color="auto" w:sz="4" w:space="0"/>
            </w:tcBorders>
            <w:noWrap/>
            <w:vAlign w:val="center"/>
          </w:tcPr>
          <w:p w14:paraId="557A5653">
            <w:pPr>
              <w:spacing w:line="360" w:lineRule="auto"/>
              <w:jc w:val="center"/>
              <w:rPr>
                <w:rFonts w:ascii="宋体" w:hAnsi="宋体"/>
                <w:szCs w:val="21"/>
              </w:rPr>
            </w:pPr>
            <w:r>
              <w:rPr>
                <w:rFonts w:hint="eastAsia" w:ascii="宋体" w:hAnsi="宋体"/>
                <w:szCs w:val="21"/>
              </w:rPr>
              <w:t>其它或建议</w:t>
            </w:r>
          </w:p>
        </w:tc>
        <w:tc>
          <w:tcPr>
            <w:tcW w:w="7436" w:type="dxa"/>
            <w:gridSpan w:val="6"/>
            <w:tcBorders>
              <w:top w:val="single" w:color="auto" w:sz="4" w:space="0"/>
              <w:left w:val="single" w:color="auto" w:sz="4" w:space="0"/>
              <w:bottom w:val="single" w:color="auto" w:sz="4" w:space="0"/>
              <w:right w:val="single" w:color="auto" w:sz="4" w:space="0"/>
            </w:tcBorders>
            <w:noWrap/>
            <w:vAlign w:val="center"/>
          </w:tcPr>
          <w:p w14:paraId="6C584636">
            <w:pPr>
              <w:spacing w:line="360" w:lineRule="auto"/>
              <w:rPr>
                <w:rFonts w:ascii="宋体" w:hAnsi="宋体"/>
                <w:szCs w:val="21"/>
              </w:rPr>
            </w:pPr>
          </w:p>
        </w:tc>
      </w:tr>
    </w:tbl>
    <w:p w14:paraId="382787A7">
      <w:pPr>
        <w:tabs>
          <w:tab w:val="left" w:pos="630"/>
        </w:tabs>
        <w:spacing w:line="360" w:lineRule="auto"/>
        <w:jc w:val="center"/>
        <w:rPr>
          <w:rFonts w:ascii="宋体" w:hAnsi="宋体"/>
          <w:szCs w:val="21"/>
        </w:rPr>
      </w:pPr>
      <w:r>
        <w:rPr>
          <w:rFonts w:hint="eastAsia" w:ascii="宋体" w:hAnsi="宋体"/>
          <w:b/>
          <w:bCs/>
          <w:szCs w:val="21"/>
        </w:rPr>
        <w:t>附件3： 中标供应商履约评价表</w:t>
      </w:r>
    </w:p>
    <w:tbl>
      <w:tblPr>
        <w:tblStyle w:val="44"/>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690"/>
        <w:gridCol w:w="6405"/>
        <w:gridCol w:w="897"/>
        <w:gridCol w:w="898"/>
      </w:tblGrid>
      <w:tr w14:paraId="7514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tcBorders>
              <w:top w:val="single" w:color="auto" w:sz="4" w:space="0"/>
              <w:left w:val="single" w:color="auto" w:sz="4" w:space="0"/>
              <w:bottom w:val="single" w:color="auto" w:sz="4" w:space="0"/>
              <w:right w:val="single" w:color="auto" w:sz="4" w:space="0"/>
            </w:tcBorders>
            <w:noWrap/>
            <w:vAlign w:val="center"/>
          </w:tcPr>
          <w:p w14:paraId="03722DCC">
            <w:pPr>
              <w:autoSpaceDE w:val="0"/>
              <w:autoSpaceDN w:val="0"/>
              <w:adjustRightInd w:val="0"/>
              <w:spacing w:line="360" w:lineRule="auto"/>
              <w:jc w:val="center"/>
              <w:rPr>
                <w:rFonts w:ascii="宋体" w:hAnsi="宋体"/>
                <w:b/>
                <w:szCs w:val="21"/>
              </w:rPr>
            </w:pPr>
            <w:r>
              <w:rPr>
                <w:rFonts w:hint="eastAsia" w:ascii="宋体" w:hAnsi="宋体"/>
                <w:b/>
                <w:szCs w:val="21"/>
              </w:rPr>
              <w:t>项目</w:t>
            </w:r>
          </w:p>
        </w:tc>
        <w:tc>
          <w:tcPr>
            <w:tcW w:w="690" w:type="dxa"/>
            <w:tcBorders>
              <w:top w:val="single" w:color="auto" w:sz="4" w:space="0"/>
              <w:left w:val="single" w:color="auto" w:sz="4" w:space="0"/>
              <w:bottom w:val="single" w:color="auto" w:sz="4" w:space="0"/>
              <w:right w:val="single" w:color="auto" w:sz="4" w:space="0"/>
            </w:tcBorders>
            <w:noWrap/>
            <w:vAlign w:val="center"/>
          </w:tcPr>
          <w:p w14:paraId="58A9B08A">
            <w:pPr>
              <w:autoSpaceDE w:val="0"/>
              <w:autoSpaceDN w:val="0"/>
              <w:adjustRightInd w:val="0"/>
              <w:spacing w:line="360" w:lineRule="auto"/>
              <w:jc w:val="center"/>
              <w:rPr>
                <w:rFonts w:ascii="宋体" w:hAnsi="宋体"/>
                <w:b/>
                <w:szCs w:val="21"/>
              </w:rPr>
            </w:pPr>
            <w:r>
              <w:rPr>
                <w:rFonts w:hint="eastAsia" w:ascii="宋体" w:hAnsi="宋体"/>
                <w:b/>
                <w:szCs w:val="21"/>
              </w:rPr>
              <w:t>序号</w:t>
            </w:r>
          </w:p>
        </w:tc>
        <w:tc>
          <w:tcPr>
            <w:tcW w:w="6405" w:type="dxa"/>
            <w:tcBorders>
              <w:top w:val="single" w:color="auto" w:sz="4" w:space="0"/>
              <w:left w:val="single" w:color="auto" w:sz="4" w:space="0"/>
              <w:bottom w:val="single" w:color="auto" w:sz="4" w:space="0"/>
              <w:right w:val="single" w:color="auto" w:sz="4" w:space="0"/>
            </w:tcBorders>
            <w:noWrap/>
            <w:vAlign w:val="center"/>
          </w:tcPr>
          <w:p w14:paraId="4CCC856D">
            <w:pPr>
              <w:autoSpaceDE w:val="0"/>
              <w:autoSpaceDN w:val="0"/>
              <w:adjustRightInd w:val="0"/>
              <w:spacing w:line="360" w:lineRule="auto"/>
              <w:jc w:val="center"/>
              <w:rPr>
                <w:rFonts w:ascii="宋体" w:hAnsi="宋体"/>
                <w:b/>
                <w:szCs w:val="21"/>
              </w:rPr>
            </w:pPr>
            <w:r>
              <w:rPr>
                <w:rFonts w:hint="eastAsia" w:ascii="宋体" w:hAnsi="宋体"/>
                <w:b/>
                <w:szCs w:val="21"/>
              </w:rPr>
              <w:t>考核细则</w:t>
            </w:r>
          </w:p>
        </w:tc>
        <w:tc>
          <w:tcPr>
            <w:tcW w:w="897" w:type="dxa"/>
            <w:tcBorders>
              <w:top w:val="single" w:color="auto" w:sz="4" w:space="0"/>
              <w:left w:val="single" w:color="auto" w:sz="4" w:space="0"/>
              <w:bottom w:val="single" w:color="auto" w:sz="4" w:space="0"/>
              <w:right w:val="single" w:color="auto" w:sz="4" w:space="0"/>
            </w:tcBorders>
            <w:noWrap/>
            <w:vAlign w:val="center"/>
          </w:tcPr>
          <w:p w14:paraId="2DBFD4F1">
            <w:pPr>
              <w:autoSpaceDE w:val="0"/>
              <w:autoSpaceDN w:val="0"/>
              <w:adjustRightInd w:val="0"/>
              <w:spacing w:line="360" w:lineRule="auto"/>
              <w:jc w:val="center"/>
              <w:rPr>
                <w:rFonts w:ascii="宋体" w:hAnsi="宋体"/>
                <w:b/>
                <w:szCs w:val="21"/>
              </w:rPr>
            </w:pPr>
            <w:r>
              <w:rPr>
                <w:rFonts w:hint="eastAsia" w:ascii="宋体" w:hAnsi="宋体"/>
                <w:b/>
                <w:szCs w:val="21"/>
              </w:rPr>
              <w:t>扣分值</w:t>
            </w:r>
          </w:p>
        </w:tc>
        <w:tc>
          <w:tcPr>
            <w:tcW w:w="898" w:type="dxa"/>
            <w:tcBorders>
              <w:top w:val="single" w:color="auto" w:sz="4" w:space="0"/>
              <w:left w:val="single" w:color="auto" w:sz="4" w:space="0"/>
              <w:bottom w:val="single" w:color="auto" w:sz="4" w:space="0"/>
              <w:right w:val="single" w:color="auto" w:sz="4" w:space="0"/>
            </w:tcBorders>
            <w:noWrap/>
            <w:vAlign w:val="center"/>
          </w:tcPr>
          <w:p w14:paraId="27776FB5">
            <w:pPr>
              <w:autoSpaceDE w:val="0"/>
              <w:autoSpaceDN w:val="0"/>
              <w:adjustRightInd w:val="0"/>
              <w:spacing w:line="360" w:lineRule="auto"/>
              <w:jc w:val="center"/>
              <w:rPr>
                <w:rFonts w:ascii="宋体" w:hAnsi="宋体"/>
                <w:b/>
                <w:szCs w:val="21"/>
              </w:rPr>
            </w:pPr>
            <w:r>
              <w:rPr>
                <w:rFonts w:hint="eastAsia" w:ascii="宋体" w:hAnsi="宋体"/>
                <w:b/>
                <w:szCs w:val="21"/>
              </w:rPr>
              <w:t>备注</w:t>
            </w:r>
          </w:p>
        </w:tc>
      </w:tr>
      <w:tr w14:paraId="72B2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restart"/>
            <w:tcBorders>
              <w:top w:val="single" w:color="auto" w:sz="4" w:space="0"/>
              <w:left w:val="single" w:color="auto" w:sz="4" w:space="0"/>
              <w:bottom w:val="single" w:color="auto" w:sz="4" w:space="0"/>
              <w:right w:val="single" w:color="auto" w:sz="4" w:space="0"/>
            </w:tcBorders>
            <w:noWrap/>
            <w:vAlign w:val="center"/>
          </w:tcPr>
          <w:p w14:paraId="368AEF25">
            <w:pPr>
              <w:autoSpaceDE w:val="0"/>
              <w:autoSpaceDN w:val="0"/>
              <w:adjustRightInd w:val="0"/>
              <w:spacing w:line="360" w:lineRule="auto"/>
              <w:jc w:val="center"/>
              <w:rPr>
                <w:rFonts w:ascii="宋体" w:hAnsi="宋体"/>
                <w:szCs w:val="21"/>
              </w:rPr>
            </w:pPr>
            <w:r>
              <w:rPr>
                <w:rFonts w:hint="eastAsia" w:ascii="宋体" w:hAnsi="宋体"/>
                <w:szCs w:val="21"/>
              </w:rPr>
              <w:t>价格</w:t>
            </w:r>
          </w:p>
        </w:tc>
        <w:tc>
          <w:tcPr>
            <w:tcW w:w="690" w:type="dxa"/>
            <w:tcBorders>
              <w:top w:val="single" w:color="auto" w:sz="4" w:space="0"/>
              <w:left w:val="single" w:color="auto" w:sz="4" w:space="0"/>
              <w:bottom w:val="single" w:color="auto" w:sz="4" w:space="0"/>
              <w:right w:val="single" w:color="auto" w:sz="4" w:space="0"/>
            </w:tcBorders>
            <w:noWrap/>
            <w:vAlign w:val="center"/>
          </w:tcPr>
          <w:p w14:paraId="783BB970">
            <w:pPr>
              <w:autoSpaceDE w:val="0"/>
              <w:autoSpaceDN w:val="0"/>
              <w:adjustRightInd w:val="0"/>
              <w:spacing w:line="360" w:lineRule="auto"/>
              <w:jc w:val="center"/>
              <w:rPr>
                <w:rFonts w:ascii="宋体" w:hAnsi="宋体"/>
                <w:szCs w:val="21"/>
              </w:rPr>
            </w:pPr>
            <w:r>
              <w:rPr>
                <w:rFonts w:hint="eastAsia" w:ascii="宋体" w:hAnsi="宋体"/>
                <w:szCs w:val="21"/>
              </w:rPr>
              <w:t>1</w:t>
            </w:r>
          </w:p>
        </w:tc>
        <w:tc>
          <w:tcPr>
            <w:tcW w:w="6405" w:type="dxa"/>
            <w:tcBorders>
              <w:top w:val="single" w:color="auto" w:sz="4" w:space="0"/>
              <w:left w:val="single" w:color="auto" w:sz="4" w:space="0"/>
              <w:bottom w:val="single" w:color="auto" w:sz="4" w:space="0"/>
              <w:right w:val="single" w:color="auto" w:sz="4" w:space="0"/>
            </w:tcBorders>
            <w:noWrap/>
            <w:vAlign w:val="center"/>
          </w:tcPr>
          <w:p w14:paraId="2FB2830F">
            <w:pPr>
              <w:autoSpaceDE w:val="0"/>
              <w:autoSpaceDN w:val="0"/>
              <w:adjustRightInd w:val="0"/>
              <w:spacing w:line="360" w:lineRule="auto"/>
              <w:rPr>
                <w:rFonts w:ascii="宋体" w:hAnsi="宋体"/>
                <w:szCs w:val="21"/>
              </w:rPr>
            </w:pPr>
            <w:r>
              <w:rPr>
                <w:rFonts w:hint="eastAsia" w:ascii="宋体" w:hAnsi="宋体"/>
                <w:szCs w:val="21"/>
              </w:rPr>
              <w:t>未按合同价格供货的，每发现一次扣5分；</w:t>
            </w:r>
          </w:p>
        </w:tc>
        <w:tc>
          <w:tcPr>
            <w:tcW w:w="897" w:type="dxa"/>
            <w:tcBorders>
              <w:top w:val="single" w:color="auto" w:sz="4" w:space="0"/>
              <w:left w:val="single" w:color="auto" w:sz="4" w:space="0"/>
              <w:bottom w:val="single" w:color="auto" w:sz="4" w:space="0"/>
              <w:right w:val="single" w:color="auto" w:sz="4" w:space="0"/>
            </w:tcBorders>
            <w:noWrap/>
            <w:vAlign w:val="center"/>
          </w:tcPr>
          <w:p w14:paraId="0008C50B">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7A28397A">
            <w:pPr>
              <w:autoSpaceDE w:val="0"/>
              <w:autoSpaceDN w:val="0"/>
              <w:adjustRightInd w:val="0"/>
              <w:spacing w:line="360" w:lineRule="auto"/>
              <w:rPr>
                <w:rFonts w:ascii="宋体" w:hAnsi="宋体"/>
                <w:szCs w:val="21"/>
              </w:rPr>
            </w:pPr>
          </w:p>
        </w:tc>
      </w:tr>
      <w:tr w14:paraId="36A8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39CC71D9">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24FCABEC">
            <w:pPr>
              <w:autoSpaceDE w:val="0"/>
              <w:autoSpaceDN w:val="0"/>
              <w:adjustRightInd w:val="0"/>
              <w:spacing w:line="360" w:lineRule="auto"/>
              <w:jc w:val="center"/>
              <w:rPr>
                <w:rFonts w:ascii="宋体" w:hAnsi="宋体"/>
                <w:szCs w:val="21"/>
              </w:rPr>
            </w:pPr>
            <w:r>
              <w:rPr>
                <w:rFonts w:hint="eastAsia" w:ascii="宋体" w:hAnsi="宋体"/>
                <w:szCs w:val="21"/>
              </w:rPr>
              <w:t>2</w:t>
            </w:r>
          </w:p>
        </w:tc>
        <w:tc>
          <w:tcPr>
            <w:tcW w:w="6405" w:type="dxa"/>
            <w:tcBorders>
              <w:top w:val="single" w:color="auto" w:sz="4" w:space="0"/>
              <w:left w:val="single" w:color="auto" w:sz="4" w:space="0"/>
              <w:bottom w:val="single" w:color="auto" w:sz="4" w:space="0"/>
              <w:right w:val="single" w:color="auto" w:sz="4" w:space="0"/>
            </w:tcBorders>
            <w:noWrap/>
            <w:vAlign w:val="center"/>
          </w:tcPr>
          <w:p w14:paraId="6981AAD5">
            <w:pPr>
              <w:autoSpaceDE w:val="0"/>
              <w:autoSpaceDN w:val="0"/>
              <w:adjustRightInd w:val="0"/>
              <w:spacing w:line="360" w:lineRule="auto"/>
              <w:rPr>
                <w:rFonts w:ascii="宋体" w:hAnsi="宋体"/>
                <w:szCs w:val="21"/>
              </w:rPr>
            </w:pPr>
            <w:r>
              <w:rPr>
                <w:rFonts w:hint="eastAsia" w:ascii="宋体" w:hAnsi="宋体"/>
                <w:szCs w:val="21"/>
              </w:rPr>
              <w:t>未按合同约定时限，根据市场价格变化调整价格的，扣5分；</w:t>
            </w:r>
          </w:p>
        </w:tc>
        <w:tc>
          <w:tcPr>
            <w:tcW w:w="897" w:type="dxa"/>
            <w:tcBorders>
              <w:top w:val="single" w:color="auto" w:sz="4" w:space="0"/>
              <w:left w:val="single" w:color="auto" w:sz="4" w:space="0"/>
              <w:bottom w:val="single" w:color="auto" w:sz="4" w:space="0"/>
              <w:right w:val="single" w:color="auto" w:sz="4" w:space="0"/>
            </w:tcBorders>
            <w:noWrap/>
            <w:vAlign w:val="center"/>
          </w:tcPr>
          <w:p w14:paraId="2937C59D">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24B03082">
            <w:pPr>
              <w:autoSpaceDE w:val="0"/>
              <w:autoSpaceDN w:val="0"/>
              <w:adjustRightInd w:val="0"/>
              <w:spacing w:line="360" w:lineRule="auto"/>
              <w:rPr>
                <w:rFonts w:ascii="宋体" w:hAnsi="宋体"/>
                <w:szCs w:val="21"/>
              </w:rPr>
            </w:pPr>
          </w:p>
        </w:tc>
      </w:tr>
      <w:tr w14:paraId="277D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restart"/>
            <w:tcBorders>
              <w:top w:val="single" w:color="auto" w:sz="4" w:space="0"/>
              <w:left w:val="single" w:color="auto" w:sz="4" w:space="0"/>
              <w:bottom w:val="single" w:color="auto" w:sz="4" w:space="0"/>
              <w:right w:val="single" w:color="auto" w:sz="4" w:space="0"/>
            </w:tcBorders>
            <w:noWrap/>
            <w:vAlign w:val="center"/>
          </w:tcPr>
          <w:p w14:paraId="669B1A36">
            <w:pPr>
              <w:autoSpaceDE w:val="0"/>
              <w:autoSpaceDN w:val="0"/>
              <w:adjustRightInd w:val="0"/>
              <w:spacing w:line="360" w:lineRule="auto"/>
              <w:jc w:val="center"/>
              <w:rPr>
                <w:rFonts w:ascii="宋体" w:hAnsi="宋体"/>
                <w:szCs w:val="21"/>
              </w:rPr>
            </w:pPr>
            <w:r>
              <w:rPr>
                <w:rFonts w:hint="eastAsia" w:ascii="宋体" w:hAnsi="宋体"/>
                <w:szCs w:val="21"/>
              </w:rPr>
              <w:t>交货</w:t>
            </w:r>
          </w:p>
        </w:tc>
        <w:tc>
          <w:tcPr>
            <w:tcW w:w="690" w:type="dxa"/>
            <w:tcBorders>
              <w:top w:val="single" w:color="auto" w:sz="4" w:space="0"/>
              <w:left w:val="single" w:color="auto" w:sz="4" w:space="0"/>
              <w:bottom w:val="single" w:color="auto" w:sz="4" w:space="0"/>
              <w:right w:val="single" w:color="auto" w:sz="4" w:space="0"/>
            </w:tcBorders>
            <w:noWrap/>
            <w:vAlign w:val="center"/>
          </w:tcPr>
          <w:p w14:paraId="4E6727F8">
            <w:pPr>
              <w:autoSpaceDE w:val="0"/>
              <w:autoSpaceDN w:val="0"/>
              <w:adjustRightInd w:val="0"/>
              <w:spacing w:line="360" w:lineRule="auto"/>
              <w:jc w:val="center"/>
              <w:rPr>
                <w:rFonts w:ascii="宋体" w:hAnsi="宋体"/>
                <w:szCs w:val="21"/>
              </w:rPr>
            </w:pPr>
            <w:r>
              <w:rPr>
                <w:rFonts w:hint="eastAsia" w:ascii="宋体" w:hAnsi="宋体"/>
                <w:szCs w:val="21"/>
              </w:rPr>
              <w:t>3</w:t>
            </w:r>
          </w:p>
        </w:tc>
        <w:tc>
          <w:tcPr>
            <w:tcW w:w="6405" w:type="dxa"/>
            <w:tcBorders>
              <w:top w:val="single" w:color="auto" w:sz="4" w:space="0"/>
              <w:left w:val="single" w:color="auto" w:sz="4" w:space="0"/>
              <w:bottom w:val="single" w:color="auto" w:sz="4" w:space="0"/>
              <w:right w:val="single" w:color="auto" w:sz="4" w:space="0"/>
            </w:tcBorders>
            <w:noWrap/>
            <w:vAlign w:val="center"/>
          </w:tcPr>
          <w:p w14:paraId="49C8A150">
            <w:pPr>
              <w:autoSpaceDE w:val="0"/>
              <w:autoSpaceDN w:val="0"/>
              <w:adjustRightInd w:val="0"/>
              <w:spacing w:line="360" w:lineRule="auto"/>
              <w:rPr>
                <w:rFonts w:ascii="宋体" w:hAnsi="宋体"/>
                <w:szCs w:val="21"/>
              </w:rPr>
            </w:pPr>
            <w:r>
              <w:rPr>
                <w:rFonts w:hint="eastAsia" w:ascii="宋体" w:hAnsi="宋体"/>
                <w:szCs w:val="21"/>
              </w:rPr>
              <w:t>违反约定，擅自更改供应货物品牌、质量的，每项次扣5分；</w:t>
            </w:r>
          </w:p>
        </w:tc>
        <w:tc>
          <w:tcPr>
            <w:tcW w:w="897" w:type="dxa"/>
            <w:tcBorders>
              <w:top w:val="single" w:color="auto" w:sz="4" w:space="0"/>
              <w:left w:val="single" w:color="auto" w:sz="4" w:space="0"/>
              <w:bottom w:val="single" w:color="auto" w:sz="4" w:space="0"/>
              <w:right w:val="single" w:color="auto" w:sz="4" w:space="0"/>
            </w:tcBorders>
            <w:noWrap/>
            <w:vAlign w:val="center"/>
          </w:tcPr>
          <w:p w14:paraId="3275DB83">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57B64FFD">
            <w:pPr>
              <w:autoSpaceDE w:val="0"/>
              <w:autoSpaceDN w:val="0"/>
              <w:adjustRightInd w:val="0"/>
              <w:spacing w:line="360" w:lineRule="auto"/>
              <w:rPr>
                <w:rFonts w:ascii="宋体" w:hAnsi="宋体"/>
                <w:szCs w:val="21"/>
              </w:rPr>
            </w:pPr>
          </w:p>
        </w:tc>
      </w:tr>
      <w:tr w14:paraId="3909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27FF3922">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265A8160">
            <w:pPr>
              <w:autoSpaceDE w:val="0"/>
              <w:autoSpaceDN w:val="0"/>
              <w:adjustRightInd w:val="0"/>
              <w:spacing w:line="360" w:lineRule="auto"/>
              <w:jc w:val="center"/>
              <w:rPr>
                <w:rFonts w:ascii="宋体" w:hAnsi="宋体"/>
                <w:szCs w:val="21"/>
              </w:rPr>
            </w:pPr>
            <w:r>
              <w:rPr>
                <w:rFonts w:hint="eastAsia" w:ascii="宋体" w:hAnsi="宋体"/>
                <w:szCs w:val="21"/>
              </w:rPr>
              <w:t>4</w:t>
            </w:r>
          </w:p>
        </w:tc>
        <w:tc>
          <w:tcPr>
            <w:tcW w:w="6405" w:type="dxa"/>
            <w:tcBorders>
              <w:top w:val="single" w:color="auto" w:sz="4" w:space="0"/>
              <w:left w:val="single" w:color="auto" w:sz="4" w:space="0"/>
              <w:bottom w:val="single" w:color="auto" w:sz="4" w:space="0"/>
              <w:right w:val="single" w:color="auto" w:sz="4" w:space="0"/>
            </w:tcBorders>
            <w:noWrap/>
            <w:vAlign w:val="center"/>
          </w:tcPr>
          <w:p w14:paraId="3CF8C9CA">
            <w:pPr>
              <w:autoSpaceDE w:val="0"/>
              <w:autoSpaceDN w:val="0"/>
              <w:adjustRightInd w:val="0"/>
              <w:spacing w:line="360" w:lineRule="auto"/>
              <w:rPr>
                <w:rFonts w:ascii="宋体" w:hAnsi="宋体"/>
                <w:szCs w:val="21"/>
              </w:rPr>
            </w:pPr>
            <w:r>
              <w:rPr>
                <w:rFonts w:hint="eastAsia" w:ascii="宋体" w:hAnsi="宋体"/>
                <w:szCs w:val="21"/>
              </w:rPr>
              <w:t>未按招标人采购计划的数量、时间供货的，每发生一次扣2分；</w:t>
            </w:r>
          </w:p>
        </w:tc>
        <w:tc>
          <w:tcPr>
            <w:tcW w:w="897" w:type="dxa"/>
            <w:tcBorders>
              <w:top w:val="single" w:color="auto" w:sz="4" w:space="0"/>
              <w:left w:val="single" w:color="auto" w:sz="4" w:space="0"/>
              <w:bottom w:val="single" w:color="auto" w:sz="4" w:space="0"/>
              <w:right w:val="single" w:color="auto" w:sz="4" w:space="0"/>
            </w:tcBorders>
            <w:noWrap/>
            <w:vAlign w:val="center"/>
          </w:tcPr>
          <w:p w14:paraId="5F68C4E9">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2A131426">
            <w:pPr>
              <w:autoSpaceDE w:val="0"/>
              <w:autoSpaceDN w:val="0"/>
              <w:adjustRightInd w:val="0"/>
              <w:spacing w:line="360" w:lineRule="auto"/>
              <w:rPr>
                <w:rFonts w:ascii="宋体" w:hAnsi="宋体"/>
                <w:szCs w:val="21"/>
              </w:rPr>
            </w:pPr>
          </w:p>
        </w:tc>
      </w:tr>
      <w:tr w14:paraId="55E5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0DF76412">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4753B35D">
            <w:pPr>
              <w:autoSpaceDE w:val="0"/>
              <w:autoSpaceDN w:val="0"/>
              <w:adjustRightInd w:val="0"/>
              <w:spacing w:line="360" w:lineRule="auto"/>
              <w:jc w:val="center"/>
              <w:rPr>
                <w:rFonts w:ascii="宋体" w:hAnsi="宋体"/>
                <w:szCs w:val="21"/>
              </w:rPr>
            </w:pPr>
            <w:r>
              <w:rPr>
                <w:rFonts w:hint="eastAsia" w:ascii="宋体" w:hAnsi="宋体"/>
                <w:szCs w:val="21"/>
              </w:rPr>
              <w:t>5</w:t>
            </w:r>
          </w:p>
        </w:tc>
        <w:tc>
          <w:tcPr>
            <w:tcW w:w="6405" w:type="dxa"/>
            <w:tcBorders>
              <w:top w:val="single" w:color="auto" w:sz="4" w:space="0"/>
              <w:left w:val="single" w:color="auto" w:sz="4" w:space="0"/>
              <w:bottom w:val="single" w:color="auto" w:sz="4" w:space="0"/>
              <w:right w:val="single" w:color="auto" w:sz="4" w:space="0"/>
            </w:tcBorders>
            <w:noWrap/>
            <w:vAlign w:val="center"/>
          </w:tcPr>
          <w:p w14:paraId="12D96FD5">
            <w:pPr>
              <w:autoSpaceDE w:val="0"/>
              <w:autoSpaceDN w:val="0"/>
              <w:adjustRightInd w:val="0"/>
              <w:spacing w:line="360" w:lineRule="auto"/>
              <w:rPr>
                <w:rFonts w:ascii="宋体" w:hAnsi="宋体"/>
                <w:szCs w:val="21"/>
              </w:rPr>
            </w:pPr>
            <w:r>
              <w:rPr>
                <w:rFonts w:hint="eastAsia" w:ascii="宋体" w:hAnsi="宋体"/>
                <w:szCs w:val="21"/>
              </w:rPr>
              <w:t>提供虚假检验报告等相关票证的，每发现一次扣5分；</w:t>
            </w:r>
          </w:p>
        </w:tc>
        <w:tc>
          <w:tcPr>
            <w:tcW w:w="897" w:type="dxa"/>
            <w:tcBorders>
              <w:top w:val="single" w:color="auto" w:sz="4" w:space="0"/>
              <w:left w:val="single" w:color="auto" w:sz="4" w:space="0"/>
              <w:bottom w:val="single" w:color="auto" w:sz="4" w:space="0"/>
              <w:right w:val="single" w:color="auto" w:sz="4" w:space="0"/>
            </w:tcBorders>
            <w:noWrap/>
            <w:vAlign w:val="center"/>
          </w:tcPr>
          <w:p w14:paraId="478965CF">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569E7A07">
            <w:pPr>
              <w:autoSpaceDE w:val="0"/>
              <w:autoSpaceDN w:val="0"/>
              <w:adjustRightInd w:val="0"/>
              <w:spacing w:line="360" w:lineRule="auto"/>
              <w:rPr>
                <w:rFonts w:ascii="宋体" w:hAnsi="宋体"/>
                <w:szCs w:val="21"/>
              </w:rPr>
            </w:pPr>
          </w:p>
        </w:tc>
      </w:tr>
      <w:tr w14:paraId="6109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07DDD2C9">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58149BD4">
            <w:pPr>
              <w:autoSpaceDE w:val="0"/>
              <w:autoSpaceDN w:val="0"/>
              <w:adjustRightInd w:val="0"/>
              <w:spacing w:line="360" w:lineRule="auto"/>
              <w:jc w:val="center"/>
              <w:rPr>
                <w:rFonts w:ascii="宋体" w:hAnsi="宋体"/>
                <w:szCs w:val="21"/>
              </w:rPr>
            </w:pPr>
            <w:r>
              <w:rPr>
                <w:rFonts w:hint="eastAsia" w:ascii="宋体" w:hAnsi="宋体"/>
                <w:szCs w:val="21"/>
              </w:rPr>
              <w:t>6</w:t>
            </w:r>
          </w:p>
        </w:tc>
        <w:tc>
          <w:tcPr>
            <w:tcW w:w="6405" w:type="dxa"/>
            <w:tcBorders>
              <w:top w:val="single" w:color="auto" w:sz="4" w:space="0"/>
              <w:left w:val="single" w:color="auto" w:sz="4" w:space="0"/>
              <w:bottom w:val="single" w:color="auto" w:sz="4" w:space="0"/>
              <w:right w:val="single" w:color="auto" w:sz="4" w:space="0"/>
            </w:tcBorders>
            <w:noWrap/>
            <w:vAlign w:val="center"/>
          </w:tcPr>
          <w:p w14:paraId="3F5699C9">
            <w:pPr>
              <w:autoSpaceDE w:val="0"/>
              <w:autoSpaceDN w:val="0"/>
              <w:adjustRightInd w:val="0"/>
              <w:spacing w:line="360" w:lineRule="auto"/>
              <w:rPr>
                <w:rFonts w:ascii="宋体" w:hAnsi="宋体"/>
                <w:szCs w:val="21"/>
              </w:rPr>
            </w:pPr>
            <w:r>
              <w:rPr>
                <w:rFonts w:hint="eastAsia" w:ascii="宋体" w:hAnsi="宋体"/>
                <w:szCs w:val="21"/>
              </w:rPr>
              <w:t>未及时按要求随货提供相关票证的，每项次扣2分；</w:t>
            </w:r>
          </w:p>
        </w:tc>
        <w:tc>
          <w:tcPr>
            <w:tcW w:w="897" w:type="dxa"/>
            <w:tcBorders>
              <w:top w:val="single" w:color="auto" w:sz="4" w:space="0"/>
              <w:left w:val="single" w:color="auto" w:sz="4" w:space="0"/>
              <w:bottom w:val="single" w:color="auto" w:sz="4" w:space="0"/>
              <w:right w:val="single" w:color="auto" w:sz="4" w:space="0"/>
            </w:tcBorders>
            <w:noWrap/>
            <w:vAlign w:val="center"/>
          </w:tcPr>
          <w:p w14:paraId="4F4D57D5">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4AFFEB43">
            <w:pPr>
              <w:autoSpaceDE w:val="0"/>
              <w:autoSpaceDN w:val="0"/>
              <w:adjustRightInd w:val="0"/>
              <w:spacing w:line="360" w:lineRule="auto"/>
              <w:rPr>
                <w:rFonts w:ascii="宋体" w:hAnsi="宋体"/>
                <w:szCs w:val="21"/>
              </w:rPr>
            </w:pPr>
          </w:p>
        </w:tc>
      </w:tr>
      <w:tr w14:paraId="6F33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3DE162B8">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4575C782">
            <w:pPr>
              <w:autoSpaceDE w:val="0"/>
              <w:autoSpaceDN w:val="0"/>
              <w:adjustRightInd w:val="0"/>
              <w:spacing w:line="360" w:lineRule="auto"/>
              <w:jc w:val="center"/>
              <w:rPr>
                <w:rFonts w:ascii="宋体" w:hAnsi="宋体"/>
                <w:szCs w:val="21"/>
              </w:rPr>
            </w:pPr>
            <w:r>
              <w:rPr>
                <w:rFonts w:hint="eastAsia" w:ascii="宋体" w:hAnsi="宋体"/>
                <w:szCs w:val="21"/>
              </w:rPr>
              <w:t>7</w:t>
            </w:r>
          </w:p>
        </w:tc>
        <w:tc>
          <w:tcPr>
            <w:tcW w:w="6405" w:type="dxa"/>
            <w:tcBorders>
              <w:top w:val="single" w:color="auto" w:sz="4" w:space="0"/>
              <w:left w:val="single" w:color="auto" w:sz="4" w:space="0"/>
              <w:bottom w:val="single" w:color="auto" w:sz="4" w:space="0"/>
              <w:right w:val="single" w:color="auto" w:sz="4" w:space="0"/>
            </w:tcBorders>
            <w:noWrap/>
            <w:vAlign w:val="center"/>
          </w:tcPr>
          <w:p w14:paraId="509A6DC0">
            <w:pPr>
              <w:autoSpaceDE w:val="0"/>
              <w:autoSpaceDN w:val="0"/>
              <w:adjustRightInd w:val="0"/>
              <w:spacing w:line="360" w:lineRule="auto"/>
              <w:rPr>
                <w:rFonts w:ascii="宋体" w:hAnsi="宋体"/>
                <w:szCs w:val="21"/>
              </w:rPr>
            </w:pPr>
            <w:r>
              <w:rPr>
                <w:rFonts w:hint="eastAsia" w:ascii="宋体" w:hAnsi="宋体"/>
                <w:szCs w:val="21"/>
              </w:rPr>
              <w:t>未按要求卸货、搬运的，每次扣2分；</w:t>
            </w:r>
          </w:p>
        </w:tc>
        <w:tc>
          <w:tcPr>
            <w:tcW w:w="897" w:type="dxa"/>
            <w:tcBorders>
              <w:top w:val="single" w:color="auto" w:sz="4" w:space="0"/>
              <w:left w:val="single" w:color="auto" w:sz="4" w:space="0"/>
              <w:bottom w:val="single" w:color="auto" w:sz="4" w:space="0"/>
              <w:right w:val="single" w:color="auto" w:sz="4" w:space="0"/>
            </w:tcBorders>
            <w:noWrap/>
            <w:vAlign w:val="center"/>
          </w:tcPr>
          <w:p w14:paraId="7EEF11AC">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07F51004">
            <w:pPr>
              <w:autoSpaceDE w:val="0"/>
              <w:autoSpaceDN w:val="0"/>
              <w:adjustRightInd w:val="0"/>
              <w:spacing w:line="360" w:lineRule="auto"/>
              <w:rPr>
                <w:rFonts w:ascii="宋体" w:hAnsi="宋体"/>
                <w:szCs w:val="21"/>
              </w:rPr>
            </w:pPr>
          </w:p>
        </w:tc>
      </w:tr>
      <w:tr w14:paraId="7127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1930F800">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07BCCDCF">
            <w:pPr>
              <w:autoSpaceDE w:val="0"/>
              <w:autoSpaceDN w:val="0"/>
              <w:adjustRightInd w:val="0"/>
              <w:spacing w:line="360" w:lineRule="auto"/>
              <w:jc w:val="center"/>
              <w:rPr>
                <w:rFonts w:ascii="宋体" w:hAnsi="宋体"/>
                <w:szCs w:val="21"/>
              </w:rPr>
            </w:pPr>
            <w:r>
              <w:rPr>
                <w:rFonts w:hint="eastAsia" w:ascii="宋体" w:hAnsi="宋体"/>
                <w:szCs w:val="21"/>
              </w:rPr>
              <w:t>8</w:t>
            </w:r>
          </w:p>
        </w:tc>
        <w:tc>
          <w:tcPr>
            <w:tcW w:w="6405" w:type="dxa"/>
            <w:tcBorders>
              <w:top w:val="single" w:color="auto" w:sz="4" w:space="0"/>
              <w:left w:val="single" w:color="auto" w:sz="4" w:space="0"/>
              <w:bottom w:val="single" w:color="auto" w:sz="4" w:space="0"/>
              <w:right w:val="single" w:color="auto" w:sz="4" w:space="0"/>
            </w:tcBorders>
            <w:noWrap/>
            <w:vAlign w:val="center"/>
          </w:tcPr>
          <w:p w14:paraId="66E041B0">
            <w:pPr>
              <w:autoSpaceDE w:val="0"/>
              <w:autoSpaceDN w:val="0"/>
              <w:adjustRightInd w:val="0"/>
              <w:spacing w:line="360" w:lineRule="auto"/>
              <w:rPr>
                <w:rFonts w:ascii="宋体" w:hAnsi="宋体"/>
                <w:szCs w:val="21"/>
              </w:rPr>
            </w:pPr>
            <w:r>
              <w:rPr>
                <w:rFonts w:hint="eastAsia" w:ascii="宋体" w:hAnsi="宋体"/>
                <w:szCs w:val="21"/>
              </w:rPr>
              <w:t>发生退货情况，造成招标人伙食无法按时供应的，每发生一次扣5分；</w:t>
            </w:r>
          </w:p>
        </w:tc>
        <w:tc>
          <w:tcPr>
            <w:tcW w:w="897" w:type="dxa"/>
            <w:tcBorders>
              <w:top w:val="single" w:color="auto" w:sz="4" w:space="0"/>
              <w:left w:val="single" w:color="auto" w:sz="4" w:space="0"/>
              <w:bottom w:val="single" w:color="auto" w:sz="4" w:space="0"/>
              <w:right w:val="single" w:color="auto" w:sz="4" w:space="0"/>
            </w:tcBorders>
            <w:noWrap/>
            <w:vAlign w:val="center"/>
          </w:tcPr>
          <w:p w14:paraId="090B22C4">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26DFDFB7">
            <w:pPr>
              <w:autoSpaceDE w:val="0"/>
              <w:autoSpaceDN w:val="0"/>
              <w:adjustRightInd w:val="0"/>
              <w:spacing w:line="360" w:lineRule="auto"/>
              <w:rPr>
                <w:rFonts w:ascii="宋体" w:hAnsi="宋体"/>
                <w:szCs w:val="21"/>
              </w:rPr>
            </w:pPr>
          </w:p>
        </w:tc>
      </w:tr>
      <w:tr w14:paraId="3AE3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restart"/>
            <w:tcBorders>
              <w:top w:val="single" w:color="auto" w:sz="4" w:space="0"/>
              <w:left w:val="single" w:color="auto" w:sz="4" w:space="0"/>
              <w:bottom w:val="single" w:color="auto" w:sz="4" w:space="0"/>
              <w:right w:val="single" w:color="auto" w:sz="4" w:space="0"/>
            </w:tcBorders>
            <w:noWrap/>
            <w:vAlign w:val="center"/>
          </w:tcPr>
          <w:p w14:paraId="21705920">
            <w:pPr>
              <w:autoSpaceDE w:val="0"/>
              <w:autoSpaceDN w:val="0"/>
              <w:adjustRightInd w:val="0"/>
              <w:spacing w:line="360" w:lineRule="auto"/>
              <w:jc w:val="center"/>
              <w:rPr>
                <w:rFonts w:ascii="宋体" w:hAnsi="宋体"/>
                <w:szCs w:val="21"/>
              </w:rPr>
            </w:pPr>
            <w:r>
              <w:rPr>
                <w:rFonts w:hint="eastAsia" w:ascii="宋体" w:hAnsi="宋体"/>
                <w:szCs w:val="21"/>
              </w:rPr>
              <w:t>质量</w:t>
            </w:r>
          </w:p>
        </w:tc>
        <w:tc>
          <w:tcPr>
            <w:tcW w:w="690" w:type="dxa"/>
            <w:tcBorders>
              <w:top w:val="single" w:color="auto" w:sz="4" w:space="0"/>
              <w:left w:val="single" w:color="auto" w:sz="4" w:space="0"/>
              <w:bottom w:val="single" w:color="auto" w:sz="4" w:space="0"/>
              <w:right w:val="single" w:color="auto" w:sz="4" w:space="0"/>
            </w:tcBorders>
            <w:noWrap/>
            <w:vAlign w:val="center"/>
          </w:tcPr>
          <w:p w14:paraId="4B18F0CE">
            <w:pPr>
              <w:autoSpaceDE w:val="0"/>
              <w:autoSpaceDN w:val="0"/>
              <w:adjustRightInd w:val="0"/>
              <w:spacing w:line="360" w:lineRule="auto"/>
              <w:jc w:val="center"/>
              <w:rPr>
                <w:rFonts w:ascii="宋体" w:hAnsi="宋体"/>
                <w:szCs w:val="21"/>
              </w:rPr>
            </w:pPr>
            <w:r>
              <w:rPr>
                <w:rFonts w:hint="eastAsia" w:ascii="宋体" w:hAnsi="宋体"/>
                <w:szCs w:val="21"/>
              </w:rPr>
              <w:t>9</w:t>
            </w:r>
          </w:p>
        </w:tc>
        <w:tc>
          <w:tcPr>
            <w:tcW w:w="6405" w:type="dxa"/>
            <w:tcBorders>
              <w:top w:val="single" w:color="auto" w:sz="4" w:space="0"/>
              <w:left w:val="single" w:color="auto" w:sz="4" w:space="0"/>
              <w:bottom w:val="single" w:color="auto" w:sz="4" w:space="0"/>
              <w:right w:val="single" w:color="auto" w:sz="4" w:space="0"/>
            </w:tcBorders>
            <w:noWrap/>
            <w:vAlign w:val="center"/>
          </w:tcPr>
          <w:p w14:paraId="4CE03097">
            <w:pPr>
              <w:autoSpaceDE w:val="0"/>
              <w:autoSpaceDN w:val="0"/>
              <w:adjustRightInd w:val="0"/>
              <w:spacing w:line="360" w:lineRule="auto"/>
              <w:rPr>
                <w:rFonts w:ascii="宋体" w:hAnsi="宋体"/>
                <w:szCs w:val="21"/>
              </w:rPr>
            </w:pPr>
            <w:r>
              <w:rPr>
                <w:rFonts w:hint="eastAsia" w:ascii="宋体" w:hAnsi="宋体"/>
                <w:szCs w:val="21"/>
              </w:rPr>
              <w:t>同一品种货物三次（含本数）以上发现质量不合格产品的，扣5分；</w:t>
            </w:r>
          </w:p>
        </w:tc>
        <w:tc>
          <w:tcPr>
            <w:tcW w:w="897" w:type="dxa"/>
            <w:tcBorders>
              <w:top w:val="single" w:color="auto" w:sz="4" w:space="0"/>
              <w:left w:val="single" w:color="auto" w:sz="4" w:space="0"/>
              <w:bottom w:val="single" w:color="auto" w:sz="4" w:space="0"/>
              <w:right w:val="single" w:color="auto" w:sz="4" w:space="0"/>
            </w:tcBorders>
            <w:noWrap/>
            <w:vAlign w:val="center"/>
          </w:tcPr>
          <w:p w14:paraId="498EED1F">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3ED8EE1B">
            <w:pPr>
              <w:autoSpaceDE w:val="0"/>
              <w:autoSpaceDN w:val="0"/>
              <w:adjustRightInd w:val="0"/>
              <w:spacing w:line="360" w:lineRule="auto"/>
              <w:rPr>
                <w:rFonts w:ascii="宋体" w:hAnsi="宋体"/>
                <w:szCs w:val="21"/>
              </w:rPr>
            </w:pPr>
          </w:p>
        </w:tc>
      </w:tr>
      <w:tr w14:paraId="37AB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45D08595">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45A4F3DC">
            <w:pPr>
              <w:autoSpaceDE w:val="0"/>
              <w:autoSpaceDN w:val="0"/>
              <w:adjustRightInd w:val="0"/>
              <w:spacing w:line="360" w:lineRule="auto"/>
              <w:jc w:val="center"/>
              <w:rPr>
                <w:rFonts w:ascii="宋体" w:hAnsi="宋体"/>
                <w:szCs w:val="21"/>
              </w:rPr>
            </w:pPr>
            <w:r>
              <w:rPr>
                <w:rFonts w:hint="eastAsia" w:ascii="宋体" w:hAnsi="宋体"/>
                <w:szCs w:val="21"/>
              </w:rPr>
              <w:t>10</w:t>
            </w:r>
          </w:p>
        </w:tc>
        <w:tc>
          <w:tcPr>
            <w:tcW w:w="6405" w:type="dxa"/>
            <w:tcBorders>
              <w:top w:val="single" w:color="auto" w:sz="4" w:space="0"/>
              <w:left w:val="single" w:color="auto" w:sz="4" w:space="0"/>
              <w:bottom w:val="single" w:color="auto" w:sz="4" w:space="0"/>
              <w:right w:val="single" w:color="auto" w:sz="4" w:space="0"/>
            </w:tcBorders>
            <w:noWrap/>
            <w:vAlign w:val="center"/>
          </w:tcPr>
          <w:p w14:paraId="33599A5E">
            <w:pPr>
              <w:autoSpaceDE w:val="0"/>
              <w:autoSpaceDN w:val="0"/>
              <w:adjustRightInd w:val="0"/>
              <w:spacing w:line="360" w:lineRule="auto"/>
              <w:rPr>
                <w:rFonts w:ascii="宋体" w:hAnsi="宋体"/>
                <w:szCs w:val="21"/>
              </w:rPr>
            </w:pPr>
            <w:r>
              <w:rPr>
                <w:rFonts w:hint="eastAsia" w:ascii="宋体" w:hAnsi="宋体"/>
                <w:szCs w:val="21"/>
              </w:rPr>
              <w:t>产品验收不合格，每拒收一批次扣2分；</w:t>
            </w:r>
          </w:p>
        </w:tc>
        <w:tc>
          <w:tcPr>
            <w:tcW w:w="897" w:type="dxa"/>
            <w:tcBorders>
              <w:top w:val="single" w:color="auto" w:sz="4" w:space="0"/>
              <w:left w:val="single" w:color="auto" w:sz="4" w:space="0"/>
              <w:bottom w:val="single" w:color="auto" w:sz="4" w:space="0"/>
              <w:right w:val="single" w:color="auto" w:sz="4" w:space="0"/>
            </w:tcBorders>
            <w:noWrap/>
            <w:vAlign w:val="center"/>
          </w:tcPr>
          <w:p w14:paraId="29F5145E">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7F8B4E83">
            <w:pPr>
              <w:autoSpaceDE w:val="0"/>
              <w:autoSpaceDN w:val="0"/>
              <w:adjustRightInd w:val="0"/>
              <w:spacing w:line="360" w:lineRule="auto"/>
              <w:rPr>
                <w:rFonts w:ascii="宋体" w:hAnsi="宋体"/>
                <w:szCs w:val="21"/>
              </w:rPr>
            </w:pPr>
          </w:p>
        </w:tc>
      </w:tr>
      <w:tr w14:paraId="3849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3213FAF7">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34F05879">
            <w:pPr>
              <w:autoSpaceDE w:val="0"/>
              <w:autoSpaceDN w:val="0"/>
              <w:adjustRightInd w:val="0"/>
              <w:spacing w:line="360" w:lineRule="auto"/>
              <w:jc w:val="center"/>
              <w:rPr>
                <w:rFonts w:ascii="宋体" w:hAnsi="宋体"/>
                <w:szCs w:val="21"/>
              </w:rPr>
            </w:pPr>
            <w:r>
              <w:rPr>
                <w:rFonts w:hint="eastAsia" w:ascii="宋体" w:hAnsi="宋体"/>
                <w:szCs w:val="21"/>
              </w:rPr>
              <w:t>11</w:t>
            </w:r>
          </w:p>
        </w:tc>
        <w:tc>
          <w:tcPr>
            <w:tcW w:w="6405" w:type="dxa"/>
            <w:tcBorders>
              <w:top w:val="single" w:color="auto" w:sz="4" w:space="0"/>
              <w:left w:val="single" w:color="auto" w:sz="4" w:space="0"/>
              <w:bottom w:val="single" w:color="auto" w:sz="4" w:space="0"/>
              <w:right w:val="single" w:color="auto" w:sz="4" w:space="0"/>
            </w:tcBorders>
            <w:noWrap/>
            <w:vAlign w:val="center"/>
          </w:tcPr>
          <w:p w14:paraId="2A8D9AEF">
            <w:pPr>
              <w:autoSpaceDE w:val="0"/>
              <w:autoSpaceDN w:val="0"/>
              <w:adjustRightInd w:val="0"/>
              <w:spacing w:line="360" w:lineRule="auto"/>
              <w:rPr>
                <w:rFonts w:ascii="宋体" w:hAnsi="宋体"/>
                <w:szCs w:val="21"/>
              </w:rPr>
            </w:pPr>
            <w:r>
              <w:rPr>
                <w:rFonts w:hint="eastAsia" w:ascii="宋体" w:hAnsi="宋体"/>
                <w:szCs w:val="21"/>
              </w:rPr>
              <w:t>把验收不合格退货的货物重新配送的，每发现一次扣5分；</w:t>
            </w:r>
          </w:p>
        </w:tc>
        <w:tc>
          <w:tcPr>
            <w:tcW w:w="897" w:type="dxa"/>
            <w:tcBorders>
              <w:top w:val="single" w:color="auto" w:sz="4" w:space="0"/>
              <w:left w:val="single" w:color="auto" w:sz="4" w:space="0"/>
              <w:bottom w:val="single" w:color="auto" w:sz="4" w:space="0"/>
              <w:right w:val="single" w:color="auto" w:sz="4" w:space="0"/>
            </w:tcBorders>
            <w:noWrap/>
            <w:vAlign w:val="center"/>
          </w:tcPr>
          <w:p w14:paraId="6669AC22">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096F4D4A">
            <w:pPr>
              <w:autoSpaceDE w:val="0"/>
              <w:autoSpaceDN w:val="0"/>
              <w:adjustRightInd w:val="0"/>
              <w:spacing w:line="360" w:lineRule="auto"/>
              <w:rPr>
                <w:rFonts w:ascii="宋体" w:hAnsi="宋体"/>
                <w:szCs w:val="21"/>
              </w:rPr>
            </w:pPr>
          </w:p>
        </w:tc>
      </w:tr>
      <w:tr w14:paraId="15BA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7C1D1B78">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53C40B22">
            <w:pPr>
              <w:autoSpaceDE w:val="0"/>
              <w:autoSpaceDN w:val="0"/>
              <w:adjustRightInd w:val="0"/>
              <w:spacing w:line="360" w:lineRule="auto"/>
              <w:jc w:val="center"/>
              <w:rPr>
                <w:rFonts w:ascii="宋体" w:hAnsi="宋体"/>
                <w:szCs w:val="21"/>
              </w:rPr>
            </w:pPr>
            <w:r>
              <w:rPr>
                <w:rFonts w:hint="eastAsia" w:ascii="宋体" w:hAnsi="宋体"/>
                <w:szCs w:val="21"/>
              </w:rPr>
              <w:t>12</w:t>
            </w:r>
          </w:p>
        </w:tc>
        <w:tc>
          <w:tcPr>
            <w:tcW w:w="6405" w:type="dxa"/>
            <w:tcBorders>
              <w:top w:val="single" w:color="auto" w:sz="4" w:space="0"/>
              <w:left w:val="single" w:color="auto" w:sz="4" w:space="0"/>
              <w:bottom w:val="single" w:color="auto" w:sz="4" w:space="0"/>
              <w:right w:val="single" w:color="auto" w:sz="4" w:space="0"/>
            </w:tcBorders>
            <w:noWrap/>
            <w:vAlign w:val="center"/>
          </w:tcPr>
          <w:p w14:paraId="5D85BF0C">
            <w:pPr>
              <w:autoSpaceDE w:val="0"/>
              <w:autoSpaceDN w:val="0"/>
              <w:adjustRightInd w:val="0"/>
              <w:spacing w:line="360" w:lineRule="auto"/>
              <w:rPr>
                <w:rFonts w:ascii="宋体" w:hAnsi="宋体"/>
                <w:szCs w:val="21"/>
              </w:rPr>
            </w:pPr>
            <w:r>
              <w:rPr>
                <w:rFonts w:hint="eastAsia" w:ascii="宋体" w:hAnsi="宋体"/>
                <w:szCs w:val="21"/>
              </w:rPr>
              <w:t>在包装、运输、装卸等环节不符合食品卫生要求的，每发现一次扣5分；</w:t>
            </w:r>
          </w:p>
        </w:tc>
        <w:tc>
          <w:tcPr>
            <w:tcW w:w="897" w:type="dxa"/>
            <w:tcBorders>
              <w:top w:val="single" w:color="auto" w:sz="4" w:space="0"/>
              <w:left w:val="single" w:color="auto" w:sz="4" w:space="0"/>
              <w:bottom w:val="single" w:color="auto" w:sz="4" w:space="0"/>
              <w:right w:val="single" w:color="auto" w:sz="4" w:space="0"/>
            </w:tcBorders>
            <w:noWrap/>
            <w:vAlign w:val="center"/>
          </w:tcPr>
          <w:p w14:paraId="0F93A73F">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676C063E">
            <w:pPr>
              <w:autoSpaceDE w:val="0"/>
              <w:autoSpaceDN w:val="0"/>
              <w:adjustRightInd w:val="0"/>
              <w:spacing w:line="360" w:lineRule="auto"/>
              <w:rPr>
                <w:rFonts w:ascii="宋体" w:hAnsi="宋体"/>
                <w:szCs w:val="21"/>
              </w:rPr>
            </w:pPr>
          </w:p>
        </w:tc>
      </w:tr>
      <w:tr w14:paraId="7259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41431B13">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4E1850CD">
            <w:pPr>
              <w:autoSpaceDE w:val="0"/>
              <w:autoSpaceDN w:val="0"/>
              <w:adjustRightInd w:val="0"/>
              <w:spacing w:line="360" w:lineRule="auto"/>
              <w:jc w:val="center"/>
              <w:rPr>
                <w:rFonts w:ascii="宋体" w:hAnsi="宋体"/>
                <w:szCs w:val="21"/>
              </w:rPr>
            </w:pPr>
            <w:r>
              <w:rPr>
                <w:rFonts w:hint="eastAsia" w:ascii="宋体" w:hAnsi="宋体"/>
                <w:szCs w:val="21"/>
              </w:rPr>
              <w:t>13</w:t>
            </w:r>
          </w:p>
        </w:tc>
        <w:tc>
          <w:tcPr>
            <w:tcW w:w="6405" w:type="dxa"/>
            <w:tcBorders>
              <w:top w:val="single" w:color="auto" w:sz="4" w:space="0"/>
              <w:left w:val="single" w:color="auto" w:sz="4" w:space="0"/>
              <w:bottom w:val="single" w:color="auto" w:sz="4" w:space="0"/>
              <w:right w:val="single" w:color="auto" w:sz="4" w:space="0"/>
            </w:tcBorders>
            <w:noWrap/>
            <w:vAlign w:val="center"/>
          </w:tcPr>
          <w:p w14:paraId="2730598C">
            <w:pPr>
              <w:autoSpaceDE w:val="0"/>
              <w:autoSpaceDN w:val="0"/>
              <w:adjustRightInd w:val="0"/>
              <w:spacing w:line="360" w:lineRule="auto"/>
              <w:rPr>
                <w:rFonts w:ascii="宋体" w:hAnsi="宋体"/>
                <w:szCs w:val="21"/>
              </w:rPr>
            </w:pPr>
            <w:r>
              <w:rPr>
                <w:rFonts w:hint="eastAsia" w:ascii="宋体" w:hAnsi="宋体"/>
                <w:szCs w:val="21"/>
              </w:rPr>
              <w:t>货物出现质量问题，供应商不积极配合查找原因，不及时反馈处理结果的，每次扣2分；</w:t>
            </w:r>
          </w:p>
        </w:tc>
        <w:tc>
          <w:tcPr>
            <w:tcW w:w="897" w:type="dxa"/>
            <w:tcBorders>
              <w:top w:val="single" w:color="auto" w:sz="4" w:space="0"/>
              <w:left w:val="single" w:color="auto" w:sz="4" w:space="0"/>
              <w:bottom w:val="single" w:color="auto" w:sz="4" w:space="0"/>
              <w:right w:val="single" w:color="auto" w:sz="4" w:space="0"/>
            </w:tcBorders>
            <w:noWrap/>
            <w:vAlign w:val="center"/>
          </w:tcPr>
          <w:p w14:paraId="41827835">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689A5B84">
            <w:pPr>
              <w:autoSpaceDE w:val="0"/>
              <w:autoSpaceDN w:val="0"/>
              <w:adjustRightInd w:val="0"/>
              <w:spacing w:line="360" w:lineRule="auto"/>
              <w:rPr>
                <w:rFonts w:ascii="宋体" w:hAnsi="宋体"/>
                <w:szCs w:val="21"/>
              </w:rPr>
            </w:pPr>
          </w:p>
        </w:tc>
      </w:tr>
      <w:tr w14:paraId="264F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47D4640C">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7C757992">
            <w:pPr>
              <w:autoSpaceDE w:val="0"/>
              <w:autoSpaceDN w:val="0"/>
              <w:adjustRightInd w:val="0"/>
              <w:spacing w:line="360" w:lineRule="auto"/>
              <w:jc w:val="center"/>
              <w:rPr>
                <w:rFonts w:ascii="宋体" w:hAnsi="宋体"/>
                <w:szCs w:val="21"/>
              </w:rPr>
            </w:pPr>
            <w:r>
              <w:rPr>
                <w:rFonts w:hint="eastAsia" w:ascii="宋体" w:hAnsi="宋体"/>
                <w:szCs w:val="21"/>
              </w:rPr>
              <w:t>14</w:t>
            </w:r>
          </w:p>
        </w:tc>
        <w:tc>
          <w:tcPr>
            <w:tcW w:w="6405" w:type="dxa"/>
            <w:tcBorders>
              <w:top w:val="single" w:color="auto" w:sz="4" w:space="0"/>
              <w:left w:val="single" w:color="auto" w:sz="4" w:space="0"/>
              <w:bottom w:val="single" w:color="auto" w:sz="4" w:space="0"/>
              <w:right w:val="single" w:color="auto" w:sz="4" w:space="0"/>
            </w:tcBorders>
            <w:noWrap/>
            <w:vAlign w:val="center"/>
          </w:tcPr>
          <w:p w14:paraId="7A3909D9">
            <w:pPr>
              <w:autoSpaceDE w:val="0"/>
              <w:autoSpaceDN w:val="0"/>
              <w:adjustRightInd w:val="0"/>
              <w:spacing w:line="360" w:lineRule="auto"/>
              <w:rPr>
                <w:rFonts w:ascii="宋体" w:hAnsi="宋体"/>
                <w:szCs w:val="21"/>
              </w:rPr>
            </w:pPr>
            <w:r>
              <w:rPr>
                <w:rFonts w:hint="eastAsia" w:ascii="宋体" w:hAnsi="宋体"/>
                <w:szCs w:val="21"/>
              </w:rPr>
              <w:t>对招标人提出的合理建议未能在约定期限内回复的，每次扣2分；</w:t>
            </w:r>
          </w:p>
        </w:tc>
        <w:tc>
          <w:tcPr>
            <w:tcW w:w="897" w:type="dxa"/>
            <w:tcBorders>
              <w:top w:val="single" w:color="auto" w:sz="4" w:space="0"/>
              <w:left w:val="single" w:color="auto" w:sz="4" w:space="0"/>
              <w:bottom w:val="single" w:color="auto" w:sz="4" w:space="0"/>
              <w:right w:val="single" w:color="auto" w:sz="4" w:space="0"/>
            </w:tcBorders>
            <w:noWrap/>
            <w:vAlign w:val="center"/>
          </w:tcPr>
          <w:p w14:paraId="61FBBB37">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27949C51">
            <w:pPr>
              <w:autoSpaceDE w:val="0"/>
              <w:autoSpaceDN w:val="0"/>
              <w:adjustRightInd w:val="0"/>
              <w:spacing w:line="360" w:lineRule="auto"/>
              <w:rPr>
                <w:rFonts w:ascii="宋体" w:hAnsi="宋体"/>
                <w:szCs w:val="21"/>
              </w:rPr>
            </w:pPr>
          </w:p>
        </w:tc>
      </w:tr>
      <w:tr w14:paraId="7AFF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5CC0C939">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5FE9434F">
            <w:pPr>
              <w:autoSpaceDE w:val="0"/>
              <w:autoSpaceDN w:val="0"/>
              <w:adjustRightInd w:val="0"/>
              <w:spacing w:line="360" w:lineRule="auto"/>
              <w:jc w:val="center"/>
              <w:rPr>
                <w:rFonts w:ascii="宋体" w:hAnsi="宋体"/>
                <w:szCs w:val="21"/>
              </w:rPr>
            </w:pPr>
            <w:r>
              <w:rPr>
                <w:rFonts w:hint="eastAsia" w:ascii="宋体" w:hAnsi="宋体"/>
                <w:szCs w:val="21"/>
              </w:rPr>
              <w:t>15</w:t>
            </w:r>
          </w:p>
        </w:tc>
        <w:tc>
          <w:tcPr>
            <w:tcW w:w="6405" w:type="dxa"/>
            <w:tcBorders>
              <w:top w:val="single" w:color="auto" w:sz="4" w:space="0"/>
              <w:left w:val="single" w:color="auto" w:sz="4" w:space="0"/>
              <w:bottom w:val="single" w:color="auto" w:sz="4" w:space="0"/>
              <w:right w:val="single" w:color="auto" w:sz="4" w:space="0"/>
            </w:tcBorders>
            <w:noWrap/>
            <w:vAlign w:val="center"/>
          </w:tcPr>
          <w:p w14:paraId="1F44E5DF">
            <w:pPr>
              <w:autoSpaceDE w:val="0"/>
              <w:autoSpaceDN w:val="0"/>
              <w:adjustRightInd w:val="0"/>
              <w:spacing w:line="360" w:lineRule="auto"/>
              <w:rPr>
                <w:rFonts w:ascii="宋体" w:hAnsi="宋体"/>
                <w:szCs w:val="21"/>
              </w:rPr>
            </w:pPr>
            <w:r>
              <w:rPr>
                <w:rFonts w:hint="eastAsia" w:ascii="宋体" w:hAnsi="宋体"/>
                <w:szCs w:val="21"/>
              </w:rPr>
              <w:t>供应商组织机构发生调整，或经营场所、联系人、联系方式变更，未及时通知采购人，造成无法及时联系的，每次扣2分；</w:t>
            </w:r>
          </w:p>
        </w:tc>
        <w:tc>
          <w:tcPr>
            <w:tcW w:w="897" w:type="dxa"/>
            <w:tcBorders>
              <w:top w:val="single" w:color="auto" w:sz="4" w:space="0"/>
              <w:left w:val="single" w:color="auto" w:sz="4" w:space="0"/>
              <w:bottom w:val="single" w:color="auto" w:sz="4" w:space="0"/>
              <w:right w:val="single" w:color="auto" w:sz="4" w:space="0"/>
            </w:tcBorders>
            <w:noWrap/>
            <w:vAlign w:val="center"/>
          </w:tcPr>
          <w:p w14:paraId="1FE5B2E6">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752A436A">
            <w:pPr>
              <w:autoSpaceDE w:val="0"/>
              <w:autoSpaceDN w:val="0"/>
              <w:adjustRightInd w:val="0"/>
              <w:spacing w:line="360" w:lineRule="auto"/>
              <w:rPr>
                <w:rFonts w:ascii="宋体" w:hAnsi="宋体"/>
                <w:szCs w:val="21"/>
              </w:rPr>
            </w:pPr>
          </w:p>
        </w:tc>
      </w:tr>
      <w:tr w14:paraId="7FF1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restart"/>
            <w:tcBorders>
              <w:top w:val="single" w:color="auto" w:sz="4" w:space="0"/>
              <w:left w:val="single" w:color="auto" w:sz="4" w:space="0"/>
              <w:bottom w:val="single" w:color="auto" w:sz="4" w:space="0"/>
              <w:right w:val="single" w:color="auto" w:sz="4" w:space="0"/>
            </w:tcBorders>
            <w:noWrap/>
            <w:vAlign w:val="center"/>
          </w:tcPr>
          <w:p w14:paraId="31605477">
            <w:pPr>
              <w:autoSpaceDE w:val="0"/>
              <w:autoSpaceDN w:val="0"/>
              <w:adjustRightInd w:val="0"/>
              <w:spacing w:line="360" w:lineRule="auto"/>
              <w:jc w:val="center"/>
              <w:rPr>
                <w:rFonts w:ascii="宋体" w:hAnsi="宋体"/>
                <w:szCs w:val="21"/>
              </w:rPr>
            </w:pPr>
            <w:r>
              <w:rPr>
                <w:rFonts w:hint="eastAsia" w:ascii="宋体" w:hAnsi="宋体"/>
                <w:szCs w:val="21"/>
              </w:rPr>
              <w:t>其它</w:t>
            </w:r>
          </w:p>
        </w:tc>
        <w:tc>
          <w:tcPr>
            <w:tcW w:w="690" w:type="dxa"/>
            <w:tcBorders>
              <w:top w:val="single" w:color="auto" w:sz="4" w:space="0"/>
              <w:left w:val="single" w:color="auto" w:sz="4" w:space="0"/>
              <w:bottom w:val="single" w:color="auto" w:sz="4" w:space="0"/>
              <w:right w:val="single" w:color="auto" w:sz="4" w:space="0"/>
            </w:tcBorders>
            <w:noWrap/>
            <w:vAlign w:val="center"/>
          </w:tcPr>
          <w:p w14:paraId="12116723">
            <w:pPr>
              <w:autoSpaceDE w:val="0"/>
              <w:autoSpaceDN w:val="0"/>
              <w:adjustRightInd w:val="0"/>
              <w:spacing w:line="360" w:lineRule="auto"/>
              <w:jc w:val="center"/>
              <w:rPr>
                <w:rFonts w:ascii="宋体" w:hAnsi="宋体"/>
                <w:szCs w:val="21"/>
              </w:rPr>
            </w:pPr>
            <w:r>
              <w:rPr>
                <w:rFonts w:hint="eastAsia" w:ascii="宋体" w:hAnsi="宋体"/>
                <w:szCs w:val="21"/>
              </w:rPr>
              <w:t>16</w:t>
            </w:r>
          </w:p>
        </w:tc>
        <w:tc>
          <w:tcPr>
            <w:tcW w:w="6405" w:type="dxa"/>
            <w:tcBorders>
              <w:top w:val="single" w:color="auto" w:sz="4" w:space="0"/>
              <w:left w:val="single" w:color="auto" w:sz="4" w:space="0"/>
              <w:bottom w:val="single" w:color="auto" w:sz="4" w:space="0"/>
              <w:right w:val="single" w:color="auto" w:sz="4" w:space="0"/>
            </w:tcBorders>
            <w:noWrap/>
            <w:vAlign w:val="center"/>
          </w:tcPr>
          <w:p w14:paraId="48A6B3CA">
            <w:pPr>
              <w:autoSpaceDE w:val="0"/>
              <w:autoSpaceDN w:val="0"/>
              <w:adjustRightInd w:val="0"/>
              <w:spacing w:line="360" w:lineRule="auto"/>
              <w:rPr>
                <w:rFonts w:ascii="宋体" w:hAnsi="宋体"/>
                <w:szCs w:val="21"/>
              </w:rPr>
            </w:pPr>
            <w:r>
              <w:rPr>
                <w:rFonts w:hint="eastAsia" w:ascii="宋体" w:hAnsi="宋体"/>
                <w:szCs w:val="21"/>
              </w:rPr>
              <w:t>供应商工作人员不遵守采购人相关管理规定，每次扣5分；</w:t>
            </w:r>
          </w:p>
        </w:tc>
        <w:tc>
          <w:tcPr>
            <w:tcW w:w="897" w:type="dxa"/>
            <w:tcBorders>
              <w:top w:val="single" w:color="auto" w:sz="4" w:space="0"/>
              <w:left w:val="single" w:color="auto" w:sz="4" w:space="0"/>
              <w:bottom w:val="single" w:color="auto" w:sz="4" w:space="0"/>
              <w:right w:val="single" w:color="auto" w:sz="4" w:space="0"/>
            </w:tcBorders>
            <w:noWrap/>
            <w:vAlign w:val="center"/>
          </w:tcPr>
          <w:p w14:paraId="031D5993">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159F90BC">
            <w:pPr>
              <w:autoSpaceDE w:val="0"/>
              <w:autoSpaceDN w:val="0"/>
              <w:adjustRightInd w:val="0"/>
              <w:spacing w:line="360" w:lineRule="auto"/>
              <w:rPr>
                <w:rFonts w:ascii="宋体" w:hAnsi="宋体"/>
                <w:szCs w:val="21"/>
              </w:rPr>
            </w:pPr>
          </w:p>
        </w:tc>
      </w:tr>
      <w:tr w14:paraId="1516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ign w:val="center"/>
          </w:tcPr>
          <w:p w14:paraId="7421408A">
            <w:pPr>
              <w:spacing w:line="360" w:lineRule="auto"/>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6D62F45D">
            <w:pPr>
              <w:autoSpaceDE w:val="0"/>
              <w:autoSpaceDN w:val="0"/>
              <w:adjustRightInd w:val="0"/>
              <w:spacing w:line="360" w:lineRule="auto"/>
              <w:jc w:val="center"/>
              <w:rPr>
                <w:rFonts w:ascii="宋体" w:hAnsi="宋体"/>
                <w:szCs w:val="21"/>
              </w:rPr>
            </w:pPr>
            <w:r>
              <w:rPr>
                <w:rFonts w:hint="eastAsia" w:ascii="宋体" w:hAnsi="宋体"/>
                <w:szCs w:val="21"/>
              </w:rPr>
              <w:t>17</w:t>
            </w:r>
          </w:p>
        </w:tc>
        <w:tc>
          <w:tcPr>
            <w:tcW w:w="6405" w:type="dxa"/>
            <w:tcBorders>
              <w:top w:val="single" w:color="auto" w:sz="4" w:space="0"/>
              <w:left w:val="single" w:color="auto" w:sz="4" w:space="0"/>
              <w:bottom w:val="single" w:color="auto" w:sz="4" w:space="0"/>
              <w:right w:val="single" w:color="auto" w:sz="4" w:space="0"/>
            </w:tcBorders>
            <w:noWrap/>
            <w:vAlign w:val="center"/>
          </w:tcPr>
          <w:p w14:paraId="4901C5AD">
            <w:pPr>
              <w:autoSpaceDE w:val="0"/>
              <w:autoSpaceDN w:val="0"/>
              <w:adjustRightInd w:val="0"/>
              <w:spacing w:line="360" w:lineRule="auto"/>
              <w:rPr>
                <w:rFonts w:ascii="宋体" w:hAnsi="宋体"/>
                <w:szCs w:val="21"/>
              </w:rPr>
            </w:pPr>
            <w:r>
              <w:rPr>
                <w:rFonts w:hint="eastAsia" w:ascii="宋体" w:hAnsi="宋体"/>
                <w:szCs w:val="21"/>
              </w:rPr>
              <w:t>双方确定进行考核的其他内容。</w:t>
            </w:r>
          </w:p>
        </w:tc>
        <w:tc>
          <w:tcPr>
            <w:tcW w:w="897" w:type="dxa"/>
            <w:tcBorders>
              <w:top w:val="single" w:color="auto" w:sz="4" w:space="0"/>
              <w:left w:val="single" w:color="auto" w:sz="4" w:space="0"/>
              <w:bottom w:val="single" w:color="auto" w:sz="4" w:space="0"/>
              <w:right w:val="single" w:color="auto" w:sz="4" w:space="0"/>
            </w:tcBorders>
            <w:noWrap/>
            <w:vAlign w:val="center"/>
          </w:tcPr>
          <w:p w14:paraId="7062A09C">
            <w:pPr>
              <w:autoSpaceDE w:val="0"/>
              <w:autoSpaceDN w:val="0"/>
              <w:adjustRightInd w:val="0"/>
              <w:spacing w:line="360" w:lineRule="auto"/>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46FA1187">
            <w:pPr>
              <w:autoSpaceDE w:val="0"/>
              <w:autoSpaceDN w:val="0"/>
              <w:adjustRightInd w:val="0"/>
              <w:spacing w:line="360" w:lineRule="auto"/>
              <w:rPr>
                <w:rFonts w:ascii="宋体" w:hAnsi="宋体"/>
                <w:szCs w:val="21"/>
              </w:rPr>
            </w:pPr>
          </w:p>
        </w:tc>
      </w:tr>
      <w:tr w14:paraId="6937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64" w:type="dxa"/>
            <w:tcBorders>
              <w:top w:val="single" w:color="auto" w:sz="4" w:space="0"/>
              <w:left w:val="single" w:color="auto" w:sz="4" w:space="0"/>
              <w:bottom w:val="single" w:color="auto" w:sz="4" w:space="0"/>
              <w:right w:val="single" w:color="auto" w:sz="4" w:space="0"/>
            </w:tcBorders>
            <w:noWrap/>
            <w:vAlign w:val="center"/>
          </w:tcPr>
          <w:p w14:paraId="347DFC51">
            <w:pPr>
              <w:autoSpaceDE w:val="0"/>
              <w:autoSpaceDN w:val="0"/>
              <w:adjustRightInd w:val="0"/>
              <w:spacing w:line="360" w:lineRule="auto"/>
              <w:jc w:val="center"/>
              <w:rPr>
                <w:rFonts w:ascii="宋体" w:hAnsi="宋体"/>
                <w:szCs w:val="21"/>
              </w:rPr>
            </w:pPr>
            <w:r>
              <w:rPr>
                <w:rFonts w:hint="eastAsia" w:ascii="宋体" w:hAnsi="宋体"/>
                <w:szCs w:val="21"/>
              </w:rPr>
              <w:t>扣分合计</w:t>
            </w:r>
          </w:p>
        </w:tc>
        <w:tc>
          <w:tcPr>
            <w:tcW w:w="8890" w:type="dxa"/>
            <w:gridSpan w:val="4"/>
            <w:tcBorders>
              <w:top w:val="single" w:color="auto" w:sz="4" w:space="0"/>
              <w:left w:val="single" w:color="auto" w:sz="4" w:space="0"/>
              <w:bottom w:val="single" w:color="auto" w:sz="4" w:space="0"/>
              <w:right w:val="single" w:color="auto" w:sz="4" w:space="0"/>
            </w:tcBorders>
            <w:noWrap/>
            <w:vAlign w:val="center"/>
          </w:tcPr>
          <w:p w14:paraId="734921AE">
            <w:pPr>
              <w:autoSpaceDE w:val="0"/>
              <w:autoSpaceDN w:val="0"/>
              <w:adjustRightInd w:val="0"/>
              <w:spacing w:line="360" w:lineRule="auto"/>
              <w:jc w:val="center"/>
              <w:rPr>
                <w:rFonts w:ascii="宋体" w:hAnsi="宋体"/>
                <w:szCs w:val="21"/>
              </w:rPr>
            </w:pPr>
          </w:p>
        </w:tc>
      </w:tr>
      <w:tr w14:paraId="77DA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64" w:type="dxa"/>
            <w:tcBorders>
              <w:top w:val="single" w:color="auto" w:sz="4" w:space="0"/>
              <w:left w:val="single" w:color="auto" w:sz="4" w:space="0"/>
              <w:bottom w:val="single" w:color="auto" w:sz="4" w:space="0"/>
              <w:right w:val="single" w:color="auto" w:sz="4" w:space="0"/>
            </w:tcBorders>
            <w:noWrap/>
            <w:vAlign w:val="center"/>
          </w:tcPr>
          <w:p w14:paraId="63AEE351">
            <w:pPr>
              <w:autoSpaceDE w:val="0"/>
              <w:autoSpaceDN w:val="0"/>
              <w:adjustRightInd w:val="0"/>
              <w:spacing w:line="360" w:lineRule="auto"/>
              <w:jc w:val="center"/>
              <w:rPr>
                <w:rFonts w:ascii="宋体" w:hAnsi="宋体"/>
                <w:szCs w:val="21"/>
              </w:rPr>
            </w:pPr>
            <w:r>
              <w:rPr>
                <w:rFonts w:hint="eastAsia" w:ascii="宋体" w:hAnsi="宋体"/>
                <w:szCs w:val="21"/>
              </w:rPr>
              <w:t>考核人</w:t>
            </w:r>
          </w:p>
        </w:tc>
        <w:tc>
          <w:tcPr>
            <w:tcW w:w="8890" w:type="dxa"/>
            <w:gridSpan w:val="4"/>
            <w:tcBorders>
              <w:top w:val="single" w:color="auto" w:sz="4" w:space="0"/>
              <w:left w:val="single" w:color="auto" w:sz="4" w:space="0"/>
              <w:bottom w:val="single" w:color="auto" w:sz="4" w:space="0"/>
              <w:right w:val="single" w:color="auto" w:sz="4" w:space="0"/>
            </w:tcBorders>
            <w:noWrap/>
            <w:vAlign w:val="center"/>
          </w:tcPr>
          <w:p w14:paraId="4AD08B18">
            <w:pPr>
              <w:autoSpaceDE w:val="0"/>
              <w:autoSpaceDN w:val="0"/>
              <w:adjustRightInd w:val="0"/>
              <w:spacing w:line="360" w:lineRule="auto"/>
              <w:jc w:val="center"/>
              <w:rPr>
                <w:rFonts w:ascii="宋体" w:hAnsi="宋体"/>
                <w:szCs w:val="21"/>
              </w:rPr>
            </w:pPr>
          </w:p>
        </w:tc>
      </w:tr>
    </w:tbl>
    <w:p w14:paraId="2C39A80D">
      <w:pPr>
        <w:spacing w:line="360" w:lineRule="auto"/>
        <w:ind w:firstLine="420" w:firstLineChars="200"/>
        <w:rPr>
          <w:rFonts w:ascii="宋体" w:hAnsi="宋体"/>
          <w:b/>
          <w:szCs w:val="21"/>
        </w:rPr>
      </w:pPr>
      <w:r>
        <w:rPr>
          <w:rFonts w:hint="eastAsia" w:ascii="宋体" w:hAnsi="宋体"/>
          <w:bCs/>
          <w:szCs w:val="21"/>
        </w:rPr>
        <w:t>履约评价表由招标人每个月付款前进行考评。如履约评价表扣分高于（或等于）20分的，甲方将扣除当月对货款费的</w:t>
      </w:r>
      <w:r>
        <w:rPr>
          <w:rFonts w:ascii="宋体" w:hAnsi="宋体"/>
          <w:bCs/>
          <w:szCs w:val="21"/>
        </w:rPr>
        <w:t>2</w:t>
      </w:r>
      <w:r>
        <w:rPr>
          <w:rFonts w:hint="eastAsia" w:ascii="宋体" w:hAnsi="宋体"/>
          <w:bCs/>
          <w:szCs w:val="21"/>
        </w:rPr>
        <w:t>%作为罚款；如履约评价表扣分高于（或等于）40分的，甲方将扣除当月对货款费的</w:t>
      </w:r>
      <w:r>
        <w:rPr>
          <w:rFonts w:ascii="宋体" w:hAnsi="宋体"/>
          <w:bCs/>
          <w:szCs w:val="21"/>
        </w:rPr>
        <w:t>5</w:t>
      </w:r>
      <w:r>
        <w:rPr>
          <w:rFonts w:hint="eastAsia" w:ascii="宋体" w:hAnsi="宋体"/>
          <w:bCs/>
          <w:szCs w:val="21"/>
        </w:rPr>
        <w:t>%作为罚款。</w:t>
      </w:r>
    </w:p>
    <w:p w14:paraId="3D6EB9C4">
      <w:pPr>
        <w:keepNext/>
        <w:keepLines/>
        <w:adjustRightInd w:val="0"/>
        <w:spacing w:before="156" w:beforeLines="50" w:after="156" w:afterLines="50"/>
        <w:jc w:val="center"/>
        <w:textAlignment w:val="baseline"/>
        <w:outlineLvl w:val="1"/>
        <w:rPr>
          <w:rFonts w:ascii="宋体" w:hAnsi="宋体"/>
          <w:b/>
          <w:bCs/>
          <w:kern w:val="0"/>
          <w:sz w:val="28"/>
          <w:szCs w:val="28"/>
        </w:rPr>
      </w:pPr>
      <w:r>
        <w:rPr>
          <w:rFonts w:hint="eastAsia" w:ascii="宋体" w:hAnsi="宋体"/>
          <w:b/>
          <w:bCs/>
          <w:kern w:val="0"/>
          <w:sz w:val="28"/>
          <w:szCs w:val="28"/>
        </w:rPr>
        <w:t>六、其他重要条款</w:t>
      </w:r>
    </w:p>
    <w:p w14:paraId="78ABC32F">
      <w:pPr>
        <w:spacing w:line="360" w:lineRule="auto"/>
        <w:ind w:firstLine="420" w:firstLineChars="200"/>
        <w:rPr>
          <w:rFonts w:ascii="宋体" w:hAnsi="宋体"/>
          <w:szCs w:val="21"/>
        </w:rPr>
      </w:pPr>
      <w:r>
        <w:rPr>
          <w:rFonts w:hint="eastAsia" w:ascii="宋体" w:hAnsi="宋体"/>
          <w:szCs w:val="21"/>
        </w:rPr>
        <w:t>1.供应商应根据本企业的成本自行决定报价，但不得以低于其企业成本的报价投标；评标时，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3AE2651">
      <w:pPr>
        <w:spacing w:line="360" w:lineRule="auto"/>
        <w:ind w:firstLine="420" w:firstLineChars="200"/>
        <w:rPr>
          <w:rFonts w:ascii="宋体" w:hAnsi="宋体"/>
          <w:szCs w:val="21"/>
        </w:rPr>
      </w:pPr>
      <w:r>
        <w:rPr>
          <w:rFonts w:hint="eastAsia" w:ascii="宋体" w:hAnsi="宋体"/>
          <w:szCs w:val="21"/>
        </w:rPr>
        <w:t>2.供应商的投标报价，应是本项目招标范围和招标文件及合同条款上所列的各项内容中所述的全部，不得以任何理由予以重复，并以供应商在投标文件中提出的综合单价或总价为依据。</w:t>
      </w:r>
    </w:p>
    <w:p w14:paraId="600EFE08">
      <w:pPr>
        <w:spacing w:line="360" w:lineRule="auto"/>
        <w:ind w:firstLine="420" w:firstLineChars="200"/>
        <w:rPr>
          <w:rFonts w:ascii="宋体" w:hAnsi="宋体"/>
          <w:szCs w:val="21"/>
        </w:rPr>
      </w:pPr>
      <w:r>
        <w:rPr>
          <w:rFonts w:hint="eastAsia" w:ascii="宋体" w:hAnsi="宋体"/>
          <w:szCs w:val="21"/>
        </w:rPr>
        <w:t>3.除非采购代理机构通过修改招标文件予以更正，否则，供应商应毫无例外地按招标文件所列的清单中项目和数量填报综合单价或总价。供应商未填综合单价或总价的项目，在实施后，将不得以支付，并视作该项费用已包括在其它有价款的综合单价或总价内。</w:t>
      </w:r>
    </w:p>
    <w:p w14:paraId="0D49F216">
      <w:pPr>
        <w:spacing w:line="360" w:lineRule="auto"/>
        <w:ind w:firstLine="420" w:firstLineChars="200"/>
        <w:rPr>
          <w:rFonts w:ascii="宋体" w:hAnsi="宋体"/>
          <w:szCs w:val="21"/>
        </w:rPr>
      </w:pPr>
      <w:r>
        <w:rPr>
          <w:rFonts w:hint="eastAsia" w:ascii="宋体" w:hAnsi="宋体"/>
          <w:szCs w:val="21"/>
        </w:rPr>
        <w:t>4.供应商应充分了解项目的位置、情况、道路及任何其它足以影响投标报价的情况，任何因忽视或误解项目情况而导致的索赔或服务期限延长申请将不获批准。</w:t>
      </w:r>
    </w:p>
    <w:p w14:paraId="5152C61B">
      <w:pPr>
        <w:spacing w:before="78" w:beforeLines="25" w:after="78" w:afterLines="25" w:line="360" w:lineRule="auto"/>
        <w:ind w:firstLine="392" w:firstLineChars="187"/>
        <w:rPr>
          <w:rFonts w:ascii="宋体" w:hAnsi="宋体"/>
          <w:szCs w:val="21"/>
        </w:rPr>
      </w:pPr>
      <w:r>
        <w:rPr>
          <w:rFonts w:hint="eastAsia" w:ascii="宋体" w:hAnsi="宋体"/>
          <w:szCs w:val="21"/>
        </w:rPr>
        <w:t>5.供应商不得期望通过索赔等方式获取补偿，否则，除可能遭到拒绝外，还可能将被作为不良行为记录在案，并可能影响其以后参加政府采购的项目投标。各供应商在投标报价时，应充分考虑投标报价的风险。</w:t>
      </w:r>
    </w:p>
    <w:p w14:paraId="78DE52CD">
      <w:pPr>
        <w:spacing w:line="360" w:lineRule="auto"/>
        <w:jc w:val="center"/>
        <w:rPr>
          <w:rFonts w:ascii="宋体" w:hAnsi="宋体"/>
          <w:b/>
          <w:kern w:val="0"/>
          <w:sz w:val="28"/>
          <w:szCs w:val="28"/>
        </w:rPr>
      </w:pPr>
      <w:r>
        <w:rPr>
          <w:rFonts w:hint="eastAsia" w:ascii="宋体" w:hAnsi="宋体"/>
          <w:b/>
          <w:kern w:val="0"/>
          <w:sz w:val="28"/>
          <w:szCs w:val="28"/>
        </w:rPr>
        <w:t>七、其他要求</w:t>
      </w:r>
    </w:p>
    <w:p w14:paraId="350961F7">
      <w:pPr>
        <w:spacing w:line="360" w:lineRule="auto"/>
        <w:ind w:firstLine="426"/>
        <w:rPr>
          <w:rFonts w:ascii="宋体" w:hAnsi="宋体" w:eastAsiaTheme="minorEastAsia"/>
          <w:kern w:val="0"/>
          <w:szCs w:val="21"/>
          <w:lang w:val="zh-CN"/>
        </w:rPr>
      </w:pPr>
      <w:r>
        <w:rPr>
          <w:rFonts w:hint="eastAsia" w:ascii="宋体" w:hAnsi="宋体" w:cs="宋体"/>
          <w:b/>
          <w:bCs/>
          <w:kern w:val="0"/>
          <w:szCs w:val="21"/>
          <w:highlight w:val="yellow"/>
          <w:lang w:val="zh-CN"/>
        </w:rPr>
        <w:t>★</w:t>
      </w:r>
      <w:r>
        <w:rPr>
          <w:rFonts w:hint="eastAsia" w:ascii="宋体" w:hAnsi="宋体" w:cs="宋体"/>
          <w:b/>
          <w:bCs/>
          <w:highlight w:val="yellow"/>
        </w:rPr>
        <w:t>投标供应商须提供法定代表人（负责人）</w:t>
      </w:r>
      <w:r>
        <w:rPr>
          <w:rFonts w:hint="eastAsia" w:ascii="宋体" w:hAnsi="宋体" w:cs="宋体"/>
          <w:b/>
          <w:bCs/>
          <w:szCs w:val="21"/>
          <w:highlight w:val="yellow"/>
        </w:rPr>
        <w:t>和</w:t>
      </w:r>
      <w:r>
        <w:rPr>
          <w:rFonts w:hint="eastAsia" w:ascii="宋体" w:hAnsi="宋体" w:cs="宋体"/>
          <w:b/>
          <w:bCs/>
          <w:highlight w:val="yellow"/>
        </w:rPr>
        <w:t>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r>
        <w:rPr>
          <w:rFonts w:hint="eastAsia" w:ascii="宋体" w:hAnsi="宋体" w:cs="宋体"/>
          <w:b/>
          <w:bCs/>
          <w:kern w:val="0"/>
          <w:szCs w:val="21"/>
          <w:highlight w:val="yellow"/>
          <w:lang w:val="zh-CN"/>
        </w:rPr>
        <w:t>。</w:t>
      </w:r>
    </w:p>
    <w:p w14:paraId="4B1FD6A9">
      <w:pPr>
        <w:spacing w:before="78" w:beforeLines="25" w:after="78" w:afterLines="25"/>
        <w:rPr>
          <w:rFonts w:ascii="宋体" w:hAnsi="宋体"/>
          <w:szCs w:val="21"/>
        </w:rPr>
      </w:pPr>
    </w:p>
    <w:p w14:paraId="30622241">
      <w:pPr>
        <w:widowControl/>
        <w:jc w:val="left"/>
        <w:rPr>
          <w:rFonts w:ascii="宋体" w:hAnsi="宋体"/>
          <w:szCs w:val="21"/>
        </w:rPr>
      </w:pPr>
      <w:r>
        <w:rPr>
          <w:rFonts w:ascii="宋体" w:hAnsi="宋体"/>
          <w:szCs w:val="21"/>
        </w:rPr>
        <w:br w:type="page"/>
      </w:r>
    </w:p>
    <w:p w14:paraId="2FA578D5">
      <w:pPr>
        <w:keepNext/>
        <w:keepLines/>
        <w:adjustRightInd w:val="0"/>
        <w:spacing w:before="260" w:after="260"/>
        <w:jc w:val="center"/>
        <w:textAlignment w:val="baseline"/>
        <w:outlineLvl w:val="1"/>
        <w:rPr>
          <w:rFonts w:ascii="宋体" w:hAnsi="宋体"/>
          <w:b/>
          <w:bCs/>
          <w:sz w:val="24"/>
          <w:szCs w:val="20"/>
        </w:rPr>
      </w:pPr>
      <w:r>
        <w:rPr>
          <w:rFonts w:hint="eastAsia" w:ascii="宋体" w:hAnsi="宋体"/>
          <w:b/>
          <w:bCs/>
          <w:sz w:val="24"/>
          <w:szCs w:val="20"/>
        </w:rPr>
        <w:t>第三章</w:t>
      </w:r>
      <w:r>
        <w:rPr>
          <w:rFonts w:ascii="宋体" w:hAnsi="宋体"/>
          <w:b/>
          <w:bCs/>
          <w:sz w:val="24"/>
          <w:szCs w:val="20"/>
        </w:rPr>
        <w:t xml:space="preserve"> </w:t>
      </w:r>
      <w:r>
        <w:rPr>
          <w:rFonts w:hint="eastAsia" w:ascii="宋体" w:hAnsi="宋体"/>
          <w:b/>
          <w:bCs/>
          <w:sz w:val="24"/>
          <w:szCs w:val="20"/>
        </w:rPr>
        <w:t xml:space="preserve"> 投标文件格式、附件</w:t>
      </w:r>
    </w:p>
    <w:p w14:paraId="2B76AA4B">
      <w:pPr>
        <w:rPr>
          <w:rFonts w:ascii="Times New Roman" w:hAnsi="Times New Roman"/>
          <w:b/>
          <w:bCs/>
          <w:sz w:val="24"/>
          <w:szCs w:val="32"/>
        </w:rPr>
      </w:pPr>
      <w:r>
        <w:rPr>
          <w:rFonts w:hint="eastAsia" w:ascii="Times New Roman" w:hAnsi="Times New Roman"/>
          <w:b/>
          <w:bCs/>
          <w:sz w:val="24"/>
          <w:szCs w:val="32"/>
        </w:rPr>
        <w:t>特别提醒：</w:t>
      </w:r>
    </w:p>
    <w:p w14:paraId="2E8A6A5F">
      <w:pPr>
        <w:rPr>
          <w:rFonts w:ascii="Times New Roman" w:hAnsi="Times New Roman"/>
          <w:b/>
          <w:bCs/>
          <w:sz w:val="24"/>
          <w:szCs w:val="32"/>
        </w:rPr>
      </w:pPr>
    </w:p>
    <w:p w14:paraId="42DB243C">
      <w:pPr>
        <w:widowControl/>
        <w:ind w:firstLine="482" w:firstLineChars="200"/>
        <w:jc w:val="left"/>
        <w:rPr>
          <w:rFonts w:ascii="仿宋_GB2312" w:hAnsi="Times New Roman" w:eastAsia="仿宋_GB2312"/>
          <w:kern w:val="0"/>
          <w:sz w:val="24"/>
          <w:szCs w:val="24"/>
        </w:rPr>
      </w:pPr>
      <w:r>
        <w:rPr>
          <w:rFonts w:hint="eastAsia" w:ascii="仿宋_GB2312" w:hAnsi="Times New Roman" w:eastAsia="仿宋_GB2312"/>
          <w:b/>
          <w:kern w:val="0"/>
          <w:sz w:val="24"/>
          <w:szCs w:val="24"/>
        </w:rPr>
        <w:t>投标文件正文将对外公开，投标文件附件不公开。</w:t>
      </w:r>
      <w:r>
        <w:rPr>
          <w:rFonts w:hint="eastAsia" w:ascii="仿宋_GB2312" w:hAnsi="Times New Roman" w:eastAsia="仿宋_GB2312"/>
          <w:kern w:val="0"/>
          <w:sz w:val="24"/>
          <w:szCs w:val="24"/>
        </w:rPr>
        <w:t>投标人在编辑投标文件时，在投标文件目录中属于本节点内容的必须在本节点中填写，填写到其他节点或附件的将可能导致投标无效，一切后果由供应商自行承担。</w:t>
      </w:r>
    </w:p>
    <w:p w14:paraId="7FF0F9F8">
      <w:pPr>
        <w:widowControl/>
        <w:jc w:val="left"/>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投标人应按招标文件规定的“投标文件组成”编制投标文件正文（信息公开部分）和投标文件附件（信息不公开部分），举例如下图：</w:t>
      </w:r>
    </w:p>
    <w:p w14:paraId="24C00427">
      <w:pPr>
        <w:widowControl/>
        <w:jc w:val="center"/>
        <w:rPr>
          <w:rFonts w:ascii="宋体" w:hAnsi="宋体" w:cs="宋体" w:eastAsiaTheme="minorEastAsia"/>
          <w:kern w:val="0"/>
          <w:sz w:val="24"/>
          <w:szCs w:val="24"/>
          <w:highlight w:val="green"/>
        </w:rPr>
      </w:pPr>
      <w:r>
        <w:rPr>
          <w:rFonts w:ascii="仿宋_GB2312" w:hAnsi="Times New Roman" w:eastAsia="仿宋_GB2312"/>
          <w:kern w:val="0"/>
          <w:sz w:val="24"/>
          <w:szCs w:val="24"/>
          <w:highlight w:val="green"/>
        </w:rPr>
        <w:drawing>
          <wp:inline distT="0" distB="0" distL="0" distR="0">
            <wp:extent cx="5278755" cy="4126230"/>
            <wp:effectExtent l="0" t="0" r="0" b="0"/>
            <wp:docPr id="2"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743F3BB6">
      <w:pPr>
        <w:widowControl/>
        <w:jc w:val="center"/>
        <w:rPr>
          <w:rFonts w:ascii="仿宋_GB2312" w:hAnsi="Times New Roman" w:eastAsia="仿宋_GB2312"/>
          <w:kern w:val="0"/>
          <w:sz w:val="24"/>
          <w:szCs w:val="24"/>
          <w:highlight w:val="green"/>
        </w:rPr>
      </w:pPr>
    </w:p>
    <w:p w14:paraId="1625E669">
      <w:pPr>
        <w:widowControl/>
        <w:ind w:firstLine="480" w:firstLineChars="200"/>
        <w:jc w:val="left"/>
        <w:rPr>
          <w:rFonts w:ascii="仿宋_GB2312" w:hAnsi="Times New Roman" w:eastAsia="仿宋_GB2312"/>
          <w:b/>
          <w:kern w:val="0"/>
          <w:sz w:val="24"/>
          <w:szCs w:val="24"/>
        </w:rPr>
      </w:pPr>
      <w:bookmarkStart w:id="11" w:name="_Hlk72257167"/>
      <w:r>
        <w:rPr>
          <w:rFonts w:hint="eastAsia" w:ascii="仿宋_GB2312" w:hAnsi="Times New Roman" w:eastAsia="仿宋_GB2312"/>
          <w:kern w:val="0"/>
          <w:sz w:val="24"/>
          <w:szCs w:val="24"/>
        </w:rPr>
        <w:t>采购代理机构公布投标文件正文（信息公开部分）时为计算机截取信息自动公布，</w:t>
      </w:r>
      <w:r>
        <w:rPr>
          <w:rFonts w:hint="eastAsia" w:ascii="仿宋_GB2312" w:hAnsi="Times New Roman" w:eastAsia="仿宋_GB2312"/>
          <w:b/>
          <w:bCs/>
          <w:kern w:val="0"/>
          <w:sz w:val="24"/>
          <w:szCs w:val="24"/>
        </w:rPr>
        <w:t>如投标人误将涉及个人隐私或其他重要信息放入投标文件正文，相关后果由投标人自负；</w:t>
      </w:r>
      <w:r>
        <w:rPr>
          <w:rFonts w:hint="eastAsia" w:ascii="仿宋_GB2312" w:hAnsi="Times New Roman" w:eastAsia="仿宋_GB2312"/>
          <w:b/>
          <w:kern w:val="0"/>
          <w:sz w:val="24"/>
          <w:szCs w:val="24"/>
        </w:rPr>
        <w:t>如投标人将必须放于投标文件正文（信息公开部分）的内容放入投标文件附件（信息不公开部分），将作投标无效处理。</w:t>
      </w:r>
    </w:p>
    <w:bookmarkEnd w:id="11"/>
    <w:p w14:paraId="6E9650D0">
      <w:pPr>
        <w:rPr>
          <w:rFonts w:ascii="仿宋_GB2312" w:hAnsi="Times New Roman" w:eastAsia="仿宋_GB2312"/>
          <w:sz w:val="24"/>
          <w:szCs w:val="24"/>
        </w:rPr>
      </w:pPr>
    </w:p>
    <w:p w14:paraId="716DEE07">
      <w:pPr>
        <w:rPr>
          <w:rFonts w:ascii="宋体" w:hAnsi="宋体"/>
          <w:sz w:val="24"/>
        </w:rPr>
      </w:pPr>
      <w:r>
        <w:rPr>
          <w:rFonts w:hint="eastAsia" w:ascii="宋体" w:hAnsi="宋体"/>
          <w:sz w:val="24"/>
        </w:rPr>
        <w:t>投标文件组成：</w:t>
      </w:r>
    </w:p>
    <w:p w14:paraId="7F846302">
      <w:pPr>
        <w:ind w:firstLine="424" w:firstLineChars="202"/>
        <w:rPr>
          <w:rFonts w:ascii="宋体" w:hAnsi="宋体"/>
          <w:sz w:val="24"/>
        </w:rPr>
      </w:pPr>
      <w:r>
        <w:rPr>
          <w:rFonts w:hint="eastAsia" w:ascii="宋体" w:hAnsi="宋体"/>
        </w:rPr>
        <w:t>1.</w:t>
      </w:r>
      <w:r>
        <w:rPr>
          <w:rFonts w:hint="eastAsia" w:ascii="宋体" w:hAnsi="宋体"/>
          <w:b/>
        </w:rPr>
        <w:t>投标文件正文</w:t>
      </w:r>
      <w:r>
        <w:rPr>
          <w:rFonts w:hint="eastAsia" w:ascii="宋体" w:hAnsi="宋体"/>
          <w:b/>
          <w:szCs w:val="21"/>
        </w:rPr>
        <w:t>（信息公开部分）</w:t>
      </w:r>
      <w:r>
        <w:rPr>
          <w:rFonts w:hint="eastAsia" w:ascii="宋体" w:hAnsi="宋体"/>
        </w:rPr>
        <w:t>，主要</w:t>
      </w:r>
      <w:r>
        <w:rPr>
          <w:rFonts w:hint="eastAsia" w:ascii="宋体" w:hAnsi="宋体"/>
          <w:szCs w:val="21"/>
        </w:rPr>
        <w:t>包括以下内容：</w:t>
      </w:r>
    </w:p>
    <w:p w14:paraId="7F7D381B">
      <w:pPr>
        <w:spacing w:before="78" w:beforeLines="25" w:after="78" w:afterLines="25"/>
        <w:ind w:firstLine="991" w:firstLineChars="472"/>
        <w:rPr>
          <w:rFonts w:ascii="宋体" w:hAnsi="宋体"/>
          <w:szCs w:val="21"/>
        </w:rPr>
      </w:pPr>
      <w:r>
        <w:rPr>
          <w:rFonts w:hint="eastAsia" w:ascii="宋体" w:hAnsi="宋体"/>
          <w:szCs w:val="21"/>
        </w:rPr>
        <w:t>（1）投标函</w:t>
      </w:r>
    </w:p>
    <w:p w14:paraId="62C65E1E">
      <w:pPr>
        <w:spacing w:before="78" w:beforeLines="25" w:after="78" w:afterLines="25"/>
        <w:ind w:firstLine="991" w:firstLineChars="472"/>
        <w:rPr>
          <w:rFonts w:ascii="宋体" w:hAnsi="宋体"/>
          <w:szCs w:val="21"/>
        </w:rPr>
      </w:pPr>
      <w:r>
        <w:rPr>
          <w:rFonts w:hint="eastAsia" w:ascii="宋体" w:hAnsi="宋体"/>
          <w:szCs w:val="21"/>
        </w:rPr>
        <w:t>（2）资格响应文件</w:t>
      </w:r>
    </w:p>
    <w:p w14:paraId="26B66B1E">
      <w:pPr>
        <w:spacing w:before="78" w:beforeLines="25" w:after="78" w:afterLines="25"/>
        <w:ind w:firstLine="991" w:firstLineChars="472"/>
        <w:rPr>
          <w:rFonts w:ascii="宋体" w:hAnsi="宋体"/>
          <w:szCs w:val="21"/>
        </w:rPr>
      </w:pPr>
      <w:r>
        <w:rPr>
          <w:rFonts w:hint="eastAsia" w:ascii="宋体" w:hAnsi="宋体"/>
          <w:szCs w:val="21"/>
        </w:rPr>
        <w:t>（3）投标人情况介绍</w:t>
      </w:r>
    </w:p>
    <w:p w14:paraId="0EE8C6E2">
      <w:pPr>
        <w:spacing w:before="78" w:beforeLines="25" w:after="78" w:afterLines="25"/>
        <w:ind w:firstLine="991" w:firstLineChars="472"/>
        <w:rPr>
          <w:rFonts w:ascii="宋体" w:hAnsi="宋体"/>
          <w:szCs w:val="21"/>
        </w:rPr>
      </w:pPr>
      <w:r>
        <w:rPr>
          <w:rFonts w:hint="eastAsia" w:ascii="宋体" w:hAnsi="宋体"/>
          <w:szCs w:val="21"/>
        </w:rPr>
        <w:t>（4）中小企业声明函等符合政府采购扶持政策的证明材料</w:t>
      </w:r>
    </w:p>
    <w:p w14:paraId="1A80AA60">
      <w:pPr>
        <w:rPr>
          <w:rFonts w:ascii="宋体" w:hAnsi="宋体"/>
          <w:sz w:val="24"/>
          <w:szCs w:val="24"/>
        </w:rPr>
      </w:pPr>
    </w:p>
    <w:p w14:paraId="456195F3">
      <w:pPr>
        <w:ind w:firstLine="424" w:firstLineChars="202"/>
        <w:rPr>
          <w:rFonts w:ascii="宋体" w:hAnsi="宋体"/>
          <w:szCs w:val="21"/>
        </w:rPr>
      </w:pPr>
    </w:p>
    <w:p w14:paraId="46D009F7">
      <w:pPr>
        <w:ind w:firstLine="424" w:firstLineChars="20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，主要包括以下内容：</w:t>
      </w:r>
    </w:p>
    <w:p w14:paraId="5A78A62D">
      <w:pPr>
        <w:spacing w:before="78" w:beforeLines="25" w:after="78" w:afterLines="25"/>
        <w:ind w:firstLine="991" w:firstLineChars="472"/>
        <w:rPr>
          <w:rFonts w:ascii="宋体" w:hAnsi="宋体"/>
          <w:szCs w:val="21"/>
        </w:rPr>
      </w:pPr>
      <w:r>
        <w:rPr>
          <w:rFonts w:hint="eastAsia" w:ascii="宋体" w:hAnsi="宋体"/>
          <w:szCs w:val="21"/>
        </w:rPr>
        <w:t>（5）政府采购违法行为风险知悉确认书</w:t>
      </w:r>
    </w:p>
    <w:p w14:paraId="55A2FBBA">
      <w:pPr>
        <w:spacing w:before="78" w:beforeLines="25" w:after="78" w:afterLines="25"/>
        <w:ind w:firstLine="991" w:firstLineChars="472"/>
        <w:rPr>
          <w:rFonts w:ascii="宋体" w:hAnsi="宋体"/>
          <w:szCs w:val="21"/>
        </w:rPr>
      </w:pPr>
      <w:r>
        <w:rPr>
          <w:rFonts w:hint="eastAsia" w:ascii="宋体" w:hAnsi="宋体"/>
          <w:szCs w:val="21"/>
        </w:rPr>
        <w:t>（6）法定代表人（负责人）资格证明书</w:t>
      </w:r>
    </w:p>
    <w:p w14:paraId="0E8C65C6">
      <w:pPr>
        <w:spacing w:before="78" w:beforeLines="25" w:after="78" w:afterLines="25"/>
        <w:ind w:firstLine="991" w:firstLineChars="472"/>
        <w:rPr>
          <w:rFonts w:ascii="宋体" w:hAnsi="宋体"/>
          <w:szCs w:val="21"/>
        </w:rPr>
      </w:pPr>
      <w:r>
        <w:rPr>
          <w:rFonts w:hint="eastAsia" w:ascii="宋体" w:hAnsi="宋体"/>
          <w:szCs w:val="21"/>
        </w:rPr>
        <w:t>（7）投标文件签署授权委托书</w:t>
      </w:r>
    </w:p>
    <w:p w14:paraId="0A50E9D8">
      <w:pPr>
        <w:spacing w:before="78" w:beforeLines="25" w:after="78" w:afterLines="25"/>
        <w:ind w:firstLine="991" w:firstLineChars="472"/>
        <w:rPr>
          <w:rFonts w:ascii="宋体" w:hAnsi="宋体"/>
          <w:szCs w:val="21"/>
        </w:rPr>
      </w:pPr>
      <w:r>
        <w:rPr>
          <w:rFonts w:hint="eastAsia" w:ascii="宋体" w:hAnsi="宋体"/>
          <w:szCs w:val="21"/>
        </w:rPr>
        <w:t>（8）实质性条款响应情况表</w:t>
      </w:r>
    </w:p>
    <w:p w14:paraId="58E9ADE1">
      <w:pPr>
        <w:spacing w:before="78" w:beforeLines="25" w:after="78" w:afterLines="25"/>
        <w:ind w:firstLine="991" w:firstLineChars="472"/>
        <w:rPr>
          <w:rFonts w:ascii="宋体" w:hAnsi="宋体"/>
          <w:szCs w:val="21"/>
        </w:rPr>
      </w:pPr>
      <w:r>
        <w:rPr>
          <w:rFonts w:hint="eastAsia" w:ascii="宋体" w:hAnsi="宋体"/>
          <w:szCs w:val="21"/>
        </w:rPr>
        <w:t>（9）详细分项报价清单</w:t>
      </w:r>
    </w:p>
    <w:p w14:paraId="15EAFF7B">
      <w:pPr>
        <w:spacing w:before="78" w:beforeLines="25" w:after="78" w:afterLines="25"/>
        <w:ind w:firstLine="991" w:firstLineChars="472"/>
        <w:rPr>
          <w:rFonts w:ascii="宋体" w:hAnsi="宋体"/>
          <w:szCs w:val="21"/>
        </w:rPr>
      </w:pPr>
      <w:r>
        <w:rPr>
          <w:rFonts w:hint="eastAsia" w:ascii="宋体" w:hAnsi="宋体"/>
          <w:szCs w:val="21"/>
        </w:rPr>
        <w:t>（10）服务要求</w:t>
      </w:r>
      <w:r>
        <w:rPr>
          <w:rFonts w:ascii="宋体" w:hAnsi="宋体"/>
          <w:szCs w:val="21"/>
        </w:rPr>
        <w:t>偏离表</w:t>
      </w:r>
    </w:p>
    <w:p w14:paraId="37C700D9">
      <w:pPr>
        <w:spacing w:before="78" w:beforeLines="25" w:after="78" w:afterLines="25"/>
        <w:ind w:firstLine="991" w:firstLineChars="472"/>
        <w:rPr>
          <w:rFonts w:ascii="宋体" w:hAnsi="宋体"/>
          <w:szCs w:val="21"/>
        </w:rPr>
      </w:pPr>
      <w:r>
        <w:rPr>
          <w:rFonts w:hint="eastAsia" w:ascii="宋体" w:hAnsi="宋体"/>
          <w:szCs w:val="21"/>
        </w:rPr>
        <w:t>（11）</w:t>
      </w:r>
      <w:r>
        <w:rPr>
          <w:rFonts w:ascii="宋体" w:hAnsi="宋体"/>
          <w:szCs w:val="21"/>
        </w:rPr>
        <w:t>商务</w:t>
      </w:r>
      <w:r>
        <w:rPr>
          <w:rFonts w:hint="eastAsia" w:ascii="宋体" w:hAnsi="宋体"/>
          <w:szCs w:val="21"/>
        </w:rPr>
        <w:t>要求</w:t>
      </w:r>
      <w:r>
        <w:rPr>
          <w:rFonts w:ascii="宋体" w:hAnsi="宋体"/>
          <w:szCs w:val="21"/>
        </w:rPr>
        <w:t>偏离表</w:t>
      </w:r>
    </w:p>
    <w:p w14:paraId="6E548A3C">
      <w:pPr>
        <w:spacing w:before="78" w:beforeLines="25" w:after="78" w:afterLines="25"/>
        <w:ind w:firstLine="991" w:firstLineChars="472"/>
        <w:rPr>
          <w:rFonts w:hint="eastAsia" w:asciiTheme="minorEastAsia" w:hAnsiTheme="minorEastAsia" w:eastAsiaTheme="minorEastAsia"/>
          <w:szCs w:val="21"/>
        </w:rPr>
      </w:pPr>
      <w:r>
        <w:rPr>
          <w:rFonts w:hint="eastAsia" w:ascii="宋体" w:hAnsi="宋体"/>
          <w:szCs w:val="21"/>
        </w:rPr>
        <w:t>（12）</w:t>
      </w:r>
      <w:r>
        <w:rPr>
          <w:rFonts w:hint="eastAsia" w:asciiTheme="minorEastAsia" w:hAnsiTheme="minorEastAsia" w:eastAsiaTheme="minorEastAsia"/>
          <w:szCs w:val="21"/>
        </w:rPr>
        <w:t>实施方案</w:t>
      </w:r>
    </w:p>
    <w:p w14:paraId="5133F4ED">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内控制度情况</w:t>
      </w:r>
    </w:p>
    <w:p w14:paraId="05F7E513">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应急方案</w:t>
      </w:r>
    </w:p>
    <w:p w14:paraId="7D9F8D46">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检验检测报告</w:t>
      </w:r>
    </w:p>
    <w:p w14:paraId="6C2C78A1">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保险情况</w:t>
      </w:r>
    </w:p>
    <w:p w14:paraId="260DF8F3">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拟安排的项目负责人情况（仅限1人）</w:t>
      </w:r>
    </w:p>
    <w:p w14:paraId="4603343E">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拟安排的项目主要团队成员（主要技术人员）情况（项目负责人除外）</w:t>
      </w:r>
    </w:p>
    <w:p w14:paraId="3CBD3AC2">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拟投入本项目的车辆情况</w:t>
      </w:r>
    </w:p>
    <w:p w14:paraId="09414B41">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拟投入本项目的配送场地情况</w:t>
      </w:r>
    </w:p>
    <w:p w14:paraId="50933661">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拟投入本项目的冷库情况</w:t>
      </w:r>
    </w:p>
    <w:p w14:paraId="3D374780">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食品安全检测能力</w:t>
      </w:r>
    </w:p>
    <w:p w14:paraId="62B5ABFF">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供应商认证情况</w:t>
      </w:r>
    </w:p>
    <w:p w14:paraId="6D59E2DD">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供应商同类项目业绩情况</w:t>
      </w:r>
    </w:p>
    <w:p w14:paraId="4FFB8511">
      <w:pPr>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服务网点</w:t>
      </w:r>
    </w:p>
    <w:p w14:paraId="5B677382">
      <w:pPr>
        <w:spacing w:before="78" w:beforeLines="25" w:after="78" w:afterLines="25"/>
        <w:ind w:firstLine="991" w:firstLineChars="472"/>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诚信评审</w:t>
      </w:r>
    </w:p>
    <w:p w14:paraId="275C34C6">
      <w:pPr>
        <w:spacing w:before="78" w:beforeLines="25" w:after="78" w:afterLines="25"/>
        <w:ind w:firstLine="991" w:firstLineChars="472"/>
        <w:rPr>
          <w:rFonts w:ascii="宋体" w:hAnsi="宋体"/>
          <w:szCs w:val="21"/>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）招标文件要求的其它内容或投标人认为需要补充的资料</w:t>
      </w:r>
    </w:p>
    <w:p w14:paraId="49C58F4F">
      <w:pPr>
        <w:spacing w:before="78" w:beforeLines="25" w:after="78" w:afterLines="25"/>
        <w:rPr>
          <w:rFonts w:ascii="宋体" w:hAnsi="宋体"/>
          <w:szCs w:val="21"/>
        </w:rPr>
      </w:pPr>
    </w:p>
    <w:p w14:paraId="2AF10FFE">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14:paraId="6DB0FD35">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14:paraId="5C8CE1B8">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14:paraId="3C85B2A2">
      <w:pPr>
        <w:widowControl/>
        <w:jc w:val="left"/>
        <w:rPr>
          <w:rFonts w:ascii="宋体" w:hAnsi="宋体"/>
          <w:szCs w:val="21"/>
        </w:rPr>
      </w:pPr>
      <w:r>
        <w:rPr>
          <w:rFonts w:ascii="宋体" w:hAnsi="宋体"/>
          <w:szCs w:val="21"/>
        </w:rPr>
        <w:br w:type="page"/>
      </w:r>
    </w:p>
    <w:p w14:paraId="6E807437">
      <w:pPr>
        <w:rPr>
          <w:rFonts w:ascii="仿宋_GB2312" w:hAnsi="Times New Roman" w:eastAsia="仿宋_GB2312"/>
          <w:b/>
          <w:color w:val="FF0000"/>
          <w:sz w:val="30"/>
          <w:szCs w:val="30"/>
        </w:rPr>
      </w:pPr>
      <w:r>
        <w:rPr>
          <w:rFonts w:hint="eastAsia" w:ascii="仿宋_GB2312" w:hAnsi="Times New Roman" w:eastAsia="仿宋_GB2312"/>
          <w:b/>
          <w:color w:val="FF0000"/>
          <w:sz w:val="30"/>
          <w:szCs w:val="30"/>
        </w:rPr>
        <w:t>投标文件正文（信息公开部分）：</w:t>
      </w:r>
    </w:p>
    <w:p w14:paraId="5FC64125">
      <w:pPr>
        <w:pStyle w:val="3"/>
        <w:jc w:val="center"/>
        <w:rPr>
          <w:rFonts w:ascii="黑体" w:eastAsia="黑体"/>
          <w:sz w:val="24"/>
        </w:rPr>
      </w:pPr>
      <w:r>
        <w:rPr>
          <w:rFonts w:hint="eastAsia" w:ascii="黑体" w:eastAsia="黑体"/>
          <w:sz w:val="24"/>
        </w:rPr>
        <w:t>一、投标函</w:t>
      </w:r>
    </w:p>
    <w:p w14:paraId="0379D640">
      <w:pPr>
        <w:spacing w:line="360" w:lineRule="auto"/>
        <w:rPr>
          <w:rFonts w:ascii="宋体" w:hAnsi="宋体"/>
          <w:szCs w:val="21"/>
        </w:rPr>
      </w:pPr>
      <w:r>
        <w:rPr>
          <w:rFonts w:hint="eastAsia" w:ascii="宋体" w:hAnsi="宋体"/>
          <w:szCs w:val="21"/>
        </w:rPr>
        <w:t xml:space="preserve">深圳市中正招标有限公司：  </w:t>
      </w:r>
    </w:p>
    <w:p w14:paraId="37DE04DD">
      <w:pPr>
        <w:spacing w:after="156"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14:paraId="60E93994">
      <w:pPr>
        <w:spacing w:after="156"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1A4DDFEB">
      <w:pPr>
        <w:spacing w:after="156" w:afterLines="50"/>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14:paraId="03E88BE3">
      <w:pPr>
        <w:spacing w:after="156" w:afterLines="50"/>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14:paraId="507A69E8">
      <w:pPr>
        <w:spacing w:after="156" w:afterLines="50"/>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14:paraId="644FB9A5">
      <w:pPr>
        <w:spacing w:after="156" w:afterLines="50"/>
        <w:ind w:firstLine="411" w:firstLineChars="196"/>
        <w:rPr>
          <w:rFonts w:ascii="宋体" w:hAnsi="宋体"/>
          <w:szCs w:val="21"/>
        </w:rPr>
      </w:pPr>
      <w:r>
        <w:rPr>
          <w:rFonts w:hint="eastAsia" w:ascii="宋体" w:hAnsi="宋体"/>
          <w:szCs w:val="21"/>
        </w:rPr>
        <w:t>6.</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C3C95BD">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7BF79F93">
      <w:pPr>
        <w:ind w:left="540" w:leftChars="257"/>
        <w:rPr>
          <w:szCs w:val="21"/>
          <w:u w:val="single"/>
        </w:rPr>
      </w:pPr>
      <w:r>
        <w:rPr>
          <w:rFonts w:hint="eastAsia"/>
          <w:szCs w:val="21"/>
        </w:rPr>
        <w:t>法定代表人或其委托代理人：</w:t>
      </w:r>
      <w:r>
        <w:rPr>
          <w:rFonts w:hint="eastAsia"/>
          <w:szCs w:val="21"/>
          <w:u w:val="single"/>
        </w:rPr>
        <w:t xml:space="preserve">                   </w:t>
      </w:r>
    </w:p>
    <w:p w14:paraId="05F15D45">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460D42F5">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64AE8D6E">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56C941F">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5326CBAD">
      <w:pPr>
        <w:ind w:firstLine="616" w:firstLineChars="257"/>
        <w:rPr>
          <w:sz w:val="24"/>
        </w:rPr>
      </w:pPr>
    </w:p>
    <w:p w14:paraId="0020063E">
      <w:pPr>
        <w:rPr>
          <w:rFonts w:ascii="宋体" w:hAnsi="宋体"/>
          <w:szCs w:val="21"/>
        </w:rPr>
      </w:pPr>
      <w:r>
        <w:rPr>
          <w:rFonts w:hint="eastAsia"/>
          <w:szCs w:val="21"/>
          <w:u w:val="single"/>
        </w:rPr>
        <w:t>（备注：如联合体投标，投标人一栏仅需填写牵头人的名称）</w:t>
      </w:r>
    </w:p>
    <w:p w14:paraId="07E0F6F5">
      <w:pPr>
        <w:ind w:firstLine="616" w:firstLineChars="257"/>
        <w:rPr>
          <w:sz w:val="24"/>
        </w:rPr>
      </w:pPr>
      <w:r>
        <w:rPr>
          <w:rFonts w:hint="eastAsia"/>
          <w:sz w:val="24"/>
        </w:rPr>
        <w:t xml:space="preserve">                          </w:t>
      </w:r>
    </w:p>
    <w:p w14:paraId="25621179">
      <w:pPr>
        <w:pStyle w:val="3"/>
        <w:jc w:val="center"/>
        <w:rPr>
          <w:rFonts w:ascii="黑体" w:eastAsia="黑体"/>
          <w:sz w:val="24"/>
        </w:rPr>
      </w:pPr>
      <w:r>
        <w:rPr>
          <w:rFonts w:hint="eastAsia" w:ascii="黑体" w:eastAsia="黑体"/>
          <w:sz w:val="24"/>
        </w:rPr>
        <w:t>二、资格响应文件</w:t>
      </w:r>
    </w:p>
    <w:p w14:paraId="19013C0C">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ascii="Times New Roman" w:hAnsi="宋体"/>
          <w:szCs w:val="21"/>
        </w:rPr>
        <w:t>等证明材料</w:t>
      </w:r>
      <w:r>
        <w:rPr>
          <w:rFonts w:hint="eastAsia" w:ascii="宋体" w:hAnsi="宋体"/>
          <w:bCs/>
          <w:snapToGrid w:val="0"/>
          <w:kern w:val="0"/>
          <w:szCs w:val="21"/>
        </w:rPr>
        <w:t>（扫描件）</w:t>
      </w:r>
    </w:p>
    <w:p w14:paraId="08F278A0">
      <w:pPr>
        <w:adjustRightInd w:val="0"/>
        <w:snapToGrid w:val="0"/>
        <w:spacing w:line="360" w:lineRule="auto"/>
        <w:ind w:firstLine="424" w:firstLineChars="202"/>
        <w:rPr>
          <w:rFonts w:ascii="宋体" w:hAnsi="宋体"/>
          <w:szCs w:val="24"/>
        </w:rPr>
      </w:pPr>
      <w:r>
        <w:rPr>
          <w:rFonts w:hint="eastAsia" w:ascii="宋体" w:hAnsi="宋体"/>
          <w:bCs/>
          <w:snapToGrid w:val="0"/>
          <w:kern w:val="0"/>
          <w:szCs w:val="21"/>
        </w:rPr>
        <w:t>2、</w:t>
      </w:r>
      <w:r>
        <w:rPr>
          <w:rFonts w:hint="eastAsia" w:ascii="Times New Roman" w:hAnsi="Times New Roman"/>
          <w:szCs w:val="21"/>
        </w:rPr>
        <w:t>政府采购投标及履约承诺函</w:t>
      </w:r>
    </w:p>
    <w:p w14:paraId="20E7A1BC">
      <w:pPr>
        <w:adjustRightInd w:val="0"/>
        <w:snapToGrid w:val="0"/>
        <w:spacing w:line="360" w:lineRule="auto"/>
        <w:ind w:firstLine="424" w:firstLineChars="202"/>
        <w:rPr>
          <w:rFonts w:ascii="宋体" w:hAnsi="宋体"/>
          <w:szCs w:val="24"/>
        </w:rPr>
      </w:pPr>
      <w:r>
        <w:rPr>
          <w:rFonts w:hint="eastAsia" w:ascii="宋体" w:hAnsi="宋体"/>
          <w:szCs w:val="24"/>
        </w:rPr>
        <w:t>3、其它资格证明材料</w:t>
      </w:r>
      <w:r>
        <w:rPr>
          <w:rFonts w:hint="eastAsia" w:ascii="宋体" w:hAnsi="宋体"/>
          <w:b/>
          <w:bCs/>
          <w:color w:val="FF0000"/>
          <w:szCs w:val="24"/>
        </w:rPr>
        <w:t>（如有，按招标公告“申请人的资格要求”提供）</w:t>
      </w:r>
    </w:p>
    <w:p w14:paraId="1F913222">
      <w:pPr>
        <w:rPr>
          <w:szCs w:val="21"/>
          <w:u w:val="single"/>
        </w:rPr>
      </w:pPr>
    </w:p>
    <w:p w14:paraId="4D609887">
      <w:pPr>
        <w:rPr>
          <w:rFonts w:ascii="宋体" w:hAnsi="宋体"/>
          <w:szCs w:val="21"/>
        </w:rPr>
      </w:pPr>
      <w:r>
        <w:rPr>
          <w:rFonts w:hint="eastAsia"/>
          <w:szCs w:val="21"/>
          <w:u w:val="single"/>
        </w:rPr>
        <w:t>（备注：如联合体投标，联合体各方均应按要求提供资格响应文件）</w:t>
      </w:r>
    </w:p>
    <w:p w14:paraId="63ABEE3B">
      <w:pPr>
        <w:rPr>
          <w:rFonts w:ascii="黑体" w:eastAsia="黑体"/>
          <w:sz w:val="24"/>
        </w:rPr>
      </w:pPr>
      <w:r>
        <w:rPr>
          <w:rFonts w:hint="eastAsia" w:ascii="黑体" w:eastAsia="黑体"/>
          <w:sz w:val="24"/>
        </w:rPr>
        <w:br w:type="page"/>
      </w:r>
    </w:p>
    <w:p w14:paraId="603D48EE">
      <w:pPr>
        <w:pStyle w:val="3"/>
        <w:jc w:val="center"/>
        <w:rPr>
          <w:rFonts w:ascii="黑体" w:eastAsia="黑体"/>
          <w:sz w:val="24"/>
        </w:rPr>
      </w:pPr>
      <w:r>
        <w:rPr>
          <w:rFonts w:hint="eastAsia" w:ascii="黑体" w:eastAsia="黑体"/>
          <w:sz w:val="24"/>
        </w:rPr>
        <w:t>政府采购投标及履约承诺函</w:t>
      </w:r>
    </w:p>
    <w:p w14:paraId="209C82FD">
      <w:pPr>
        <w:rPr>
          <w:rFonts w:ascii="宋体" w:hAnsi="宋体"/>
          <w:szCs w:val="21"/>
        </w:rPr>
      </w:pPr>
      <w:r>
        <w:rPr>
          <w:rFonts w:hint="eastAsia" w:ascii="宋体" w:hAnsi="宋体"/>
          <w:szCs w:val="21"/>
        </w:rPr>
        <w:t>深圳市中正招标有限公司：</w:t>
      </w:r>
    </w:p>
    <w:p w14:paraId="71386C8A">
      <w:pPr>
        <w:ind w:right="-815" w:firstLine="420" w:firstLineChars="200"/>
        <w:rPr>
          <w:rFonts w:ascii="宋体" w:hAnsi="宋体"/>
          <w:szCs w:val="21"/>
        </w:rPr>
      </w:pPr>
      <w:r>
        <w:rPr>
          <w:rFonts w:hint="eastAsia" w:ascii="宋体" w:hAnsi="宋体"/>
          <w:szCs w:val="21"/>
        </w:rPr>
        <w:t>我单位承诺：</w:t>
      </w:r>
    </w:p>
    <w:p w14:paraId="3FDF4BA5">
      <w:pPr>
        <w:ind w:firstLine="424" w:firstLineChars="202"/>
        <w:rPr>
          <w:rFonts w:ascii="宋体" w:hAnsi="宋体"/>
          <w:szCs w:val="21"/>
        </w:rPr>
      </w:pPr>
      <w:r>
        <w:rPr>
          <w:rFonts w:hint="eastAsia" w:ascii="宋体" w:hAnsi="宋体"/>
          <w:szCs w:val="21"/>
        </w:rPr>
        <w:t>1.我单位满足《中华人民共和国政府采购法》第二十二条规定的下列条件：</w:t>
      </w:r>
    </w:p>
    <w:p w14:paraId="61EA62BD">
      <w:pPr>
        <w:ind w:firstLine="424" w:firstLineChars="202"/>
        <w:rPr>
          <w:rFonts w:ascii="宋体" w:hAnsi="宋体"/>
          <w:szCs w:val="21"/>
        </w:rPr>
      </w:pPr>
      <w:r>
        <w:rPr>
          <w:rFonts w:hint="eastAsia" w:ascii="宋体" w:hAnsi="宋体"/>
          <w:szCs w:val="21"/>
        </w:rPr>
        <w:t>（一）具有独立承担民事责任的能力；</w:t>
      </w:r>
    </w:p>
    <w:p w14:paraId="14350D7A">
      <w:pPr>
        <w:ind w:firstLine="424" w:firstLineChars="202"/>
        <w:rPr>
          <w:rFonts w:ascii="宋体" w:hAnsi="宋体"/>
          <w:szCs w:val="21"/>
        </w:rPr>
      </w:pPr>
      <w:r>
        <w:rPr>
          <w:rFonts w:hint="eastAsia" w:ascii="宋体" w:hAnsi="宋体"/>
          <w:szCs w:val="21"/>
        </w:rPr>
        <w:t>（二）具有良好的商业信誉和健全的财务会计制度；</w:t>
      </w:r>
    </w:p>
    <w:p w14:paraId="2AB12905">
      <w:pPr>
        <w:ind w:firstLine="424" w:firstLineChars="202"/>
        <w:rPr>
          <w:rFonts w:ascii="宋体" w:hAnsi="宋体"/>
          <w:szCs w:val="21"/>
        </w:rPr>
      </w:pPr>
      <w:r>
        <w:rPr>
          <w:rFonts w:hint="eastAsia" w:ascii="宋体" w:hAnsi="宋体"/>
          <w:szCs w:val="21"/>
        </w:rPr>
        <w:t>（三）具有履行合同所必需的设备和专业技术能力；</w:t>
      </w:r>
    </w:p>
    <w:p w14:paraId="4848F876">
      <w:pPr>
        <w:ind w:firstLine="424" w:firstLineChars="202"/>
        <w:rPr>
          <w:rFonts w:ascii="宋体" w:hAnsi="宋体"/>
          <w:szCs w:val="21"/>
        </w:rPr>
      </w:pPr>
      <w:r>
        <w:rPr>
          <w:rFonts w:hint="eastAsia" w:ascii="宋体" w:hAnsi="宋体"/>
          <w:szCs w:val="21"/>
        </w:rPr>
        <w:t>（四）有依法缴纳税收和社会保障资金的良好记录；</w:t>
      </w:r>
    </w:p>
    <w:p w14:paraId="79BC98F7">
      <w:pPr>
        <w:ind w:firstLine="424" w:firstLineChars="202"/>
        <w:rPr>
          <w:rFonts w:ascii="宋体" w:hAnsi="宋体"/>
          <w:szCs w:val="21"/>
        </w:rPr>
      </w:pPr>
      <w:r>
        <w:rPr>
          <w:rFonts w:hint="eastAsia" w:ascii="宋体" w:hAnsi="宋体"/>
          <w:szCs w:val="21"/>
        </w:rPr>
        <w:t>（五）参加政府采购活动前三年内，在经营活动中没有重大违法记录；</w:t>
      </w:r>
    </w:p>
    <w:p w14:paraId="247285FB">
      <w:pPr>
        <w:ind w:firstLine="424" w:firstLineChars="202"/>
        <w:rPr>
          <w:rFonts w:ascii="宋体" w:hAnsi="宋体"/>
          <w:szCs w:val="21"/>
        </w:rPr>
      </w:pPr>
      <w:r>
        <w:rPr>
          <w:rFonts w:hint="eastAsia" w:ascii="宋体" w:hAnsi="宋体"/>
          <w:szCs w:val="21"/>
        </w:rPr>
        <w:t>（六）法律、行政法规规定的其他条件。</w:t>
      </w:r>
    </w:p>
    <w:p w14:paraId="02C7C0DF">
      <w:pPr>
        <w:ind w:firstLine="424" w:firstLineChars="202"/>
        <w:rPr>
          <w:rFonts w:ascii="宋体" w:hAnsi="宋体"/>
          <w:szCs w:val="21"/>
        </w:rPr>
      </w:pPr>
      <w:r>
        <w:rPr>
          <w:rFonts w:hint="eastAsia" w:ascii="宋体" w:hAnsi="宋体"/>
          <w:szCs w:val="21"/>
        </w:rPr>
        <w:t>2.我单位参与本项目采购活动前三年内，在经营活动中没有重大违法记录，包括因违法经营受到刑事处罚或者责令停产停业、吊销许可证或者执照、较大数额罚款等行政处罚。</w:t>
      </w:r>
    </w:p>
    <w:p w14:paraId="2835BC5F">
      <w:pPr>
        <w:ind w:firstLine="424" w:firstLineChars="202"/>
        <w:rPr>
          <w:rFonts w:ascii="宋体" w:hAnsi="宋体"/>
          <w:szCs w:val="21"/>
        </w:rPr>
      </w:pPr>
      <w:r>
        <w:rPr>
          <w:rFonts w:hint="eastAsia" w:ascii="宋体" w:hAnsi="宋体"/>
          <w:szCs w:val="21"/>
        </w:rPr>
        <w:t>3.我单位参与本项目政府采购活动时不存在被有关部门禁止参与政府采购活动且在有效期内的情况；与其他投标供应商不存在“单位负责人为同一人或者存在直接控股、管理关系”的情况；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ascii="宋体" w:hAnsi="宋体"/>
          <w:szCs w:val="21"/>
        </w:rPr>
        <w:t>。</w:t>
      </w:r>
    </w:p>
    <w:p w14:paraId="3055FDC9">
      <w:pPr>
        <w:ind w:firstLine="424" w:firstLineChars="202"/>
        <w:rPr>
          <w:rFonts w:ascii="宋体" w:hAnsi="宋体"/>
          <w:szCs w:val="21"/>
        </w:rPr>
      </w:pPr>
      <w:r>
        <w:rPr>
          <w:rFonts w:hint="eastAsia" w:ascii="宋体" w:hAnsi="宋体"/>
          <w:szCs w:val="21"/>
        </w:rPr>
        <w:t>4.我单位承诺非联合体投标，不非法转包或分包，为本项目所提供的货物或服务未侵犯知识产权。</w:t>
      </w:r>
    </w:p>
    <w:p w14:paraId="740073B2">
      <w:pPr>
        <w:ind w:firstLine="424" w:firstLineChars="202"/>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5FB11298">
      <w:pPr>
        <w:ind w:firstLine="424" w:firstLineChars="202"/>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6.我单位参与该项目投标，严格遵循公平竞争的原则，不妨碍其他投标人的竞争行为，不损害采购人或者其他投标人的合法权益，与其他采购参加人不存在下列串通投标情形：</w:t>
      </w:r>
    </w:p>
    <w:p w14:paraId="2C74E073">
      <w:pPr>
        <w:ind w:firstLine="424" w:firstLineChars="202"/>
        <w:rPr>
          <w:rFonts w:ascii="宋体" w:hAnsi="宋体"/>
          <w:szCs w:val="21"/>
        </w:rPr>
      </w:pPr>
      <w:r>
        <w:rPr>
          <w:rFonts w:hint="eastAsia" w:ascii="宋体" w:hAnsi="宋体"/>
          <w:szCs w:val="21"/>
        </w:rPr>
        <w:t>（1）投标供应商之间相互约定给予未中标的供应商利益补偿；</w:t>
      </w:r>
    </w:p>
    <w:p w14:paraId="29F8FB15">
      <w:pPr>
        <w:ind w:firstLine="424" w:firstLineChars="202"/>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00A611F">
      <w:pPr>
        <w:ind w:firstLine="424" w:firstLineChars="202"/>
        <w:rPr>
          <w:rFonts w:ascii="宋体" w:hAnsi="宋体"/>
          <w:szCs w:val="21"/>
        </w:rPr>
      </w:pPr>
      <w:r>
        <w:rPr>
          <w:rFonts w:hint="eastAsia" w:ascii="宋体" w:hAnsi="宋体"/>
          <w:szCs w:val="21"/>
        </w:rPr>
        <w:t>（3）不同投标供应商的投标文件由同一单位或者同一人编制，或者由同一人分阶段参与编制的；</w:t>
      </w:r>
    </w:p>
    <w:p w14:paraId="6BD934F3">
      <w:pPr>
        <w:ind w:firstLine="424" w:firstLineChars="202"/>
        <w:rPr>
          <w:rFonts w:ascii="宋体" w:hAnsi="宋体"/>
          <w:szCs w:val="21"/>
        </w:rPr>
      </w:pPr>
      <w:r>
        <w:rPr>
          <w:rFonts w:hint="eastAsia" w:ascii="宋体" w:hAnsi="宋体"/>
          <w:szCs w:val="21"/>
        </w:rPr>
        <w:t>（4）不同投标供应商的投标文件或部分投标文件相互混装；</w:t>
      </w:r>
    </w:p>
    <w:p w14:paraId="3F53BECC">
      <w:pPr>
        <w:ind w:firstLine="424" w:firstLineChars="202"/>
        <w:rPr>
          <w:rFonts w:ascii="宋体" w:hAnsi="宋体"/>
          <w:szCs w:val="21"/>
        </w:rPr>
      </w:pPr>
      <w:r>
        <w:rPr>
          <w:rFonts w:hint="eastAsia" w:ascii="宋体" w:hAnsi="宋体"/>
          <w:szCs w:val="21"/>
        </w:rPr>
        <w:t>（5）不同投标供应商的投标文件内容存在非正常一致；</w:t>
      </w:r>
    </w:p>
    <w:p w14:paraId="4913DE84">
      <w:pPr>
        <w:ind w:firstLine="424" w:firstLineChars="202"/>
        <w:rPr>
          <w:rFonts w:ascii="宋体" w:hAnsi="宋体"/>
          <w:szCs w:val="21"/>
        </w:rPr>
      </w:pPr>
      <w:r>
        <w:rPr>
          <w:rFonts w:hint="eastAsia" w:ascii="宋体" w:hAnsi="宋体"/>
          <w:szCs w:val="21"/>
        </w:rPr>
        <w:t>（6）由同一单位工作人员为两家以上（含两家）供应商进行同一项投标活动的；</w:t>
      </w:r>
    </w:p>
    <w:p w14:paraId="4E650745">
      <w:pPr>
        <w:ind w:firstLine="424" w:firstLineChars="202"/>
        <w:rPr>
          <w:rFonts w:ascii="宋体" w:hAnsi="宋体"/>
          <w:szCs w:val="21"/>
        </w:rPr>
      </w:pPr>
      <w:r>
        <w:rPr>
          <w:rFonts w:hint="eastAsia" w:ascii="宋体" w:hAnsi="宋体"/>
          <w:szCs w:val="21"/>
        </w:rPr>
        <w:t>（7）主管部门依照法律、法规认定的其他情形。</w:t>
      </w:r>
    </w:p>
    <w:p w14:paraId="65E8A8BE">
      <w:pPr>
        <w:ind w:firstLine="424" w:firstLineChars="202"/>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1F1762DC">
      <w:pPr>
        <w:ind w:firstLine="424" w:firstLineChars="202"/>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1CB3D9F">
      <w:pPr>
        <w:ind w:firstLine="424" w:firstLineChars="202"/>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26F9FBE">
      <w:pPr>
        <w:ind w:firstLine="424" w:firstLineChars="202"/>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759A9786">
      <w:pPr>
        <w:ind w:firstLine="424" w:firstLineChars="202"/>
        <w:rPr>
          <w:rFonts w:ascii="宋体" w:hAnsi="宋体"/>
          <w:szCs w:val="21"/>
        </w:rPr>
      </w:pPr>
      <w:r>
        <w:rPr>
          <w:rFonts w:hint="eastAsia" w:ascii="宋体" w:hAnsi="宋体"/>
          <w:szCs w:val="21"/>
        </w:rPr>
        <w:t>以上承诺，如有违反，愿依照相关法律法规处理，并承担由此给采购人带来的损失。</w:t>
      </w:r>
    </w:p>
    <w:p w14:paraId="304BB39E">
      <w:pPr>
        <w:ind w:firstLine="424" w:firstLineChars="202"/>
        <w:rPr>
          <w:rFonts w:ascii="宋体" w:hAnsi="宋体"/>
          <w:szCs w:val="21"/>
        </w:rPr>
      </w:pPr>
    </w:p>
    <w:p w14:paraId="439B4FCB">
      <w:pPr>
        <w:jc w:val="center"/>
      </w:pPr>
      <w:r>
        <w:rPr>
          <w:rFonts w:hint="eastAsia"/>
          <w:szCs w:val="21"/>
        </w:rPr>
        <w:t xml:space="preserve">                             投标人：</w:t>
      </w:r>
    </w:p>
    <w:p w14:paraId="615789F0">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D769D8C">
      <w:pPr>
        <w:ind w:firstLine="424" w:firstLineChars="202"/>
        <w:rPr>
          <w:rFonts w:ascii="宋体" w:hAnsi="宋体"/>
          <w:szCs w:val="21"/>
        </w:rPr>
      </w:pPr>
    </w:p>
    <w:p w14:paraId="717AC838"/>
    <w:p w14:paraId="0D5E98D3">
      <w:pPr>
        <w:rPr>
          <w:rFonts w:ascii="宋体" w:hAnsi="宋体"/>
          <w:szCs w:val="21"/>
        </w:rPr>
      </w:pPr>
      <w:r>
        <w:rPr>
          <w:rFonts w:hint="eastAsia"/>
          <w:szCs w:val="21"/>
          <w:u w:val="single"/>
        </w:rPr>
        <w:t>（备注：如联合体投标，投标人一栏需填写联合体各方的名称）</w:t>
      </w:r>
    </w:p>
    <w:p w14:paraId="3ED451C3"/>
    <w:p w14:paraId="442E95D3">
      <w:pPr>
        <w:pStyle w:val="3"/>
        <w:jc w:val="center"/>
        <w:rPr>
          <w:rFonts w:ascii="黑体" w:eastAsia="黑体"/>
          <w:sz w:val="24"/>
        </w:rPr>
      </w:pPr>
      <w:r>
        <w:rPr>
          <w:rFonts w:hint="eastAsia" w:ascii="黑体" w:eastAsia="黑体"/>
          <w:sz w:val="24"/>
        </w:rPr>
        <w:t>三、投标人情况介绍</w:t>
      </w:r>
    </w:p>
    <w:tbl>
      <w:tblPr>
        <w:tblStyle w:val="44"/>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6DAD28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6087E59C">
            <w:pPr>
              <w:spacing w:after="60"/>
              <w:jc w:val="center"/>
              <w:rPr>
                <w:rFonts w:ascii="宋体" w:hAnsi="宋体"/>
                <w:b/>
                <w:szCs w:val="21"/>
              </w:rPr>
            </w:pPr>
            <w:r>
              <w:rPr>
                <w:rFonts w:hint="eastAsia" w:ascii="宋体" w:hAnsi="宋体"/>
                <w:b/>
                <w:szCs w:val="21"/>
              </w:rPr>
              <w:t>序号</w:t>
            </w:r>
          </w:p>
        </w:tc>
        <w:tc>
          <w:tcPr>
            <w:tcW w:w="2559" w:type="dxa"/>
          </w:tcPr>
          <w:p w14:paraId="305DB587">
            <w:pPr>
              <w:spacing w:after="60"/>
              <w:jc w:val="center"/>
              <w:rPr>
                <w:rFonts w:ascii="宋体" w:hAnsi="宋体"/>
                <w:b/>
                <w:szCs w:val="21"/>
              </w:rPr>
            </w:pPr>
            <w:r>
              <w:rPr>
                <w:rFonts w:hint="eastAsia" w:ascii="宋体" w:hAnsi="宋体"/>
                <w:b/>
                <w:szCs w:val="21"/>
              </w:rPr>
              <w:t>项</w:t>
            </w:r>
            <w:r>
              <w:rPr>
                <w:rFonts w:ascii="宋体" w:hAnsi="宋体"/>
                <w:b/>
                <w:szCs w:val="21"/>
              </w:rPr>
              <w:t xml:space="preserve">  </w:t>
            </w:r>
            <w:r>
              <w:rPr>
                <w:rFonts w:hint="eastAsia" w:ascii="宋体" w:hAnsi="宋体"/>
                <w:b/>
                <w:szCs w:val="21"/>
              </w:rPr>
              <w:t>目</w:t>
            </w:r>
          </w:p>
        </w:tc>
        <w:tc>
          <w:tcPr>
            <w:tcW w:w="4432" w:type="dxa"/>
            <w:vAlign w:val="center"/>
          </w:tcPr>
          <w:p w14:paraId="70D8CD9C">
            <w:pPr>
              <w:spacing w:after="60"/>
              <w:jc w:val="center"/>
              <w:rPr>
                <w:rFonts w:ascii="宋体" w:hAnsi="宋体"/>
                <w:b/>
                <w:szCs w:val="21"/>
              </w:rPr>
            </w:pPr>
            <w:r>
              <w:rPr>
                <w:rFonts w:hint="eastAsia" w:ascii="宋体" w:hAnsi="宋体"/>
                <w:b/>
                <w:szCs w:val="21"/>
              </w:rPr>
              <w:t>内容及说明</w:t>
            </w:r>
          </w:p>
        </w:tc>
        <w:tc>
          <w:tcPr>
            <w:tcW w:w="1411" w:type="dxa"/>
            <w:vAlign w:val="center"/>
          </w:tcPr>
          <w:p w14:paraId="5FBC1238">
            <w:pPr>
              <w:spacing w:after="60"/>
              <w:jc w:val="center"/>
              <w:rPr>
                <w:rFonts w:ascii="宋体" w:hAnsi="宋体"/>
                <w:b/>
                <w:szCs w:val="21"/>
              </w:rPr>
            </w:pPr>
            <w:r>
              <w:rPr>
                <w:rFonts w:hint="eastAsia" w:ascii="宋体" w:hAnsi="宋体"/>
                <w:b/>
                <w:szCs w:val="21"/>
              </w:rPr>
              <w:t>备注</w:t>
            </w:r>
          </w:p>
        </w:tc>
      </w:tr>
      <w:tr w14:paraId="21018F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CE862A2">
            <w:pPr>
              <w:spacing w:after="60"/>
              <w:jc w:val="center"/>
              <w:rPr>
                <w:rFonts w:ascii="宋体" w:hAnsi="宋体"/>
                <w:b/>
                <w:szCs w:val="21"/>
              </w:rPr>
            </w:pPr>
            <w:r>
              <w:rPr>
                <w:rFonts w:hint="eastAsia" w:ascii="宋体" w:hAnsi="宋体"/>
                <w:b/>
                <w:szCs w:val="21"/>
              </w:rPr>
              <w:t>一</w:t>
            </w:r>
          </w:p>
        </w:tc>
        <w:tc>
          <w:tcPr>
            <w:tcW w:w="6991" w:type="dxa"/>
            <w:gridSpan w:val="2"/>
          </w:tcPr>
          <w:p w14:paraId="368B652A">
            <w:pPr>
              <w:spacing w:after="60"/>
              <w:rPr>
                <w:rFonts w:ascii="宋体" w:hAnsi="宋体"/>
                <w:b/>
                <w:szCs w:val="21"/>
              </w:rPr>
            </w:pPr>
            <w:r>
              <w:rPr>
                <w:rFonts w:hint="eastAsia" w:ascii="宋体" w:hAnsi="宋体"/>
                <w:b/>
                <w:szCs w:val="21"/>
              </w:rPr>
              <w:t>营业执照</w:t>
            </w:r>
          </w:p>
        </w:tc>
        <w:tc>
          <w:tcPr>
            <w:tcW w:w="1411" w:type="dxa"/>
            <w:vAlign w:val="center"/>
          </w:tcPr>
          <w:p w14:paraId="01E8A838">
            <w:pPr>
              <w:spacing w:after="60"/>
              <w:jc w:val="center"/>
              <w:rPr>
                <w:rFonts w:ascii="宋体" w:hAnsi="宋体"/>
                <w:szCs w:val="21"/>
              </w:rPr>
            </w:pPr>
          </w:p>
        </w:tc>
      </w:tr>
      <w:tr w14:paraId="7D230B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D8AAEF1">
            <w:pPr>
              <w:spacing w:after="60"/>
              <w:jc w:val="center"/>
              <w:rPr>
                <w:rFonts w:ascii="宋体" w:hAnsi="宋体"/>
                <w:szCs w:val="21"/>
              </w:rPr>
            </w:pPr>
            <w:r>
              <w:rPr>
                <w:rFonts w:ascii="宋体" w:hAnsi="宋体"/>
                <w:szCs w:val="21"/>
              </w:rPr>
              <w:t>1</w:t>
            </w:r>
          </w:p>
        </w:tc>
        <w:tc>
          <w:tcPr>
            <w:tcW w:w="2559" w:type="dxa"/>
            <w:vAlign w:val="center"/>
          </w:tcPr>
          <w:p w14:paraId="4E35808E">
            <w:pPr>
              <w:spacing w:after="60"/>
              <w:jc w:val="center"/>
              <w:rPr>
                <w:rFonts w:ascii="宋体" w:hAnsi="宋体"/>
                <w:szCs w:val="21"/>
              </w:rPr>
            </w:pPr>
            <w:r>
              <w:rPr>
                <w:rFonts w:hint="eastAsia" w:ascii="宋体" w:hAnsi="宋体"/>
                <w:szCs w:val="21"/>
              </w:rPr>
              <w:t>注册年度及注册编号</w:t>
            </w:r>
          </w:p>
        </w:tc>
        <w:tc>
          <w:tcPr>
            <w:tcW w:w="4432" w:type="dxa"/>
            <w:vAlign w:val="center"/>
          </w:tcPr>
          <w:p w14:paraId="483019A8">
            <w:pPr>
              <w:spacing w:after="60"/>
              <w:rPr>
                <w:rFonts w:ascii="宋体" w:hAnsi="宋体"/>
                <w:szCs w:val="21"/>
              </w:rPr>
            </w:pPr>
          </w:p>
        </w:tc>
        <w:tc>
          <w:tcPr>
            <w:tcW w:w="1411" w:type="dxa"/>
            <w:vAlign w:val="center"/>
          </w:tcPr>
          <w:p w14:paraId="68C904AE">
            <w:pPr>
              <w:spacing w:after="60"/>
              <w:jc w:val="center"/>
              <w:rPr>
                <w:rFonts w:ascii="宋体" w:hAnsi="宋体"/>
                <w:szCs w:val="21"/>
              </w:rPr>
            </w:pPr>
          </w:p>
        </w:tc>
      </w:tr>
      <w:tr w14:paraId="778BE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DB610A1">
            <w:pPr>
              <w:spacing w:after="60"/>
              <w:jc w:val="center"/>
              <w:rPr>
                <w:rFonts w:ascii="宋体" w:hAnsi="宋体"/>
                <w:szCs w:val="21"/>
              </w:rPr>
            </w:pPr>
            <w:r>
              <w:rPr>
                <w:rFonts w:ascii="宋体" w:hAnsi="宋体"/>
                <w:szCs w:val="21"/>
              </w:rPr>
              <w:t>2</w:t>
            </w:r>
          </w:p>
        </w:tc>
        <w:tc>
          <w:tcPr>
            <w:tcW w:w="2559" w:type="dxa"/>
            <w:vAlign w:val="center"/>
          </w:tcPr>
          <w:p w14:paraId="4CB771F3">
            <w:pPr>
              <w:spacing w:after="60"/>
              <w:jc w:val="center"/>
              <w:rPr>
                <w:rFonts w:ascii="宋体" w:hAnsi="宋体"/>
                <w:szCs w:val="21"/>
              </w:rPr>
            </w:pPr>
            <w:r>
              <w:rPr>
                <w:rFonts w:hint="eastAsia" w:ascii="宋体" w:hAnsi="宋体"/>
                <w:szCs w:val="21"/>
              </w:rPr>
              <w:t>注册资金（万元）</w:t>
            </w:r>
          </w:p>
        </w:tc>
        <w:tc>
          <w:tcPr>
            <w:tcW w:w="4432" w:type="dxa"/>
            <w:vAlign w:val="center"/>
          </w:tcPr>
          <w:p w14:paraId="276D1F44">
            <w:pPr>
              <w:spacing w:after="60"/>
              <w:rPr>
                <w:rFonts w:ascii="宋体" w:hAnsi="宋体"/>
                <w:szCs w:val="21"/>
              </w:rPr>
            </w:pPr>
          </w:p>
        </w:tc>
        <w:tc>
          <w:tcPr>
            <w:tcW w:w="1411" w:type="dxa"/>
            <w:vAlign w:val="center"/>
          </w:tcPr>
          <w:p w14:paraId="621C0806">
            <w:pPr>
              <w:spacing w:after="60"/>
              <w:jc w:val="center"/>
              <w:rPr>
                <w:rFonts w:ascii="宋体" w:hAnsi="宋体"/>
                <w:szCs w:val="21"/>
              </w:rPr>
            </w:pPr>
          </w:p>
        </w:tc>
      </w:tr>
      <w:tr w14:paraId="3800A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DA75E50">
            <w:pPr>
              <w:spacing w:after="60"/>
              <w:jc w:val="center"/>
              <w:rPr>
                <w:rFonts w:ascii="宋体" w:hAnsi="宋体"/>
                <w:szCs w:val="21"/>
              </w:rPr>
            </w:pPr>
            <w:r>
              <w:rPr>
                <w:rFonts w:hint="eastAsia" w:ascii="宋体" w:hAnsi="宋体"/>
                <w:szCs w:val="21"/>
              </w:rPr>
              <w:t>3</w:t>
            </w:r>
          </w:p>
        </w:tc>
        <w:tc>
          <w:tcPr>
            <w:tcW w:w="2559" w:type="dxa"/>
            <w:vAlign w:val="center"/>
          </w:tcPr>
          <w:p w14:paraId="5E7B7CEC">
            <w:pPr>
              <w:spacing w:after="60"/>
              <w:jc w:val="center"/>
              <w:rPr>
                <w:rFonts w:ascii="宋体" w:hAnsi="宋体"/>
                <w:szCs w:val="21"/>
              </w:rPr>
            </w:pPr>
            <w:r>
              <w:rPr>
                <w:rFonts w:hint="eastAsia" w:ascii="宋体" w:hAnsi="宋体"/>
                <w:szCs w:val="21"/>
              </w:rPr>
              <w:t>法定代表人</w:t>
            </w:r>
          </w:p>
        </w:tc>
        <w:tc>
          <w:tcPr>
            <w:tcW w:w="4432" w:type="dxa"/>
            <w:vAlign w:val="center"/>
          </w:tcPr>
          <w:p w14:paraId="49409A3B">
            <w:pPr>
              <w:spacing w:after="60"/>
              <w:rPr>
                <w:rFonts w:ascii="宋体" w:hAnsi="宋体"/>
                <w:szCs w:val="21"/>
              </w:rPr>
            </w:pPr>
          </w:p>
        </w:tc>
        <w:tc>
          <w:tcPr>
            <w:tcW w:w="1411" w:type="dxa"/>
            <w:vAlign w:val="center"/>
          </w:tcPr>
          <w:p w14:paraId="63F60D52">
            <w:pPr>
              <w:spacing w:after="60"/>
              <w:jc w:val="center"/>
              <w:rPr>
                <w:rFonts w:ascii="宋体" w:hAnsi="宋体"/>
                <w:szCs w:val="21"/>
              </w:rPr>
            </w:pPr>
          </w:p>
        </w:tc>
      </w:tr>
      <w:tr w14:paraId="24A976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F656355">
            <w:pPr>
              <w:spacing w:after="60"/>
              <w:jc w:val="center"/>
              <w:rPr>
                <w:rFonts w:ascii="宋体" w:hAnsi="宋体"/>
                <w:szCs w:val="21"/>
              </w:rPr>
            </w:pPr>
            <w:r>
              <w:rPr>
                <w:rFonts w:hint="eastAsia" w:ascii="宋体" w:hAnsi="宋体"/>
                <w:szCs w:val="21"/>
              </w:rPr>
              <w:t>4</w:t>
            </w:r>
          </w:p>
        </w:tc>
        <w:tc>
          <w:tcPr>
            <w:tcW w:w="2559" w:type="dxa"/>
            <w:vAlign w:val="center"/>
          </w:tcPr>
          <w:p w14:paraId="50F7DD2D">
            <w:pPr>
              <w:spacing w:after="60"/>
              <w:jc w:val="center"/>
              <w:rPr>
                <w:rFonts w:ascii="宋体" w:hAnsi="宋体"/>
                <w:szCs w:val="21"/>
              </w:rPr>
            </w:pPr>
            <w:r>
              <w:rPr>
                <w:rFonts w:hint="eastAsia" w:ascii="宋体" w:hAnsi="宋体"/>
                <w:szCs w:val="21"/>
              </w:rPr>
              <w:t>住所地</w:t>
            </w:r>
          </w:p>
        </w:tc>
        <w:tc>
          <w:tcPr>
            <w:tcW w:w="4432" w:type="dxa"/>
            <w:vAlign w:val="center"/>
          </w:tcPr>
          <w:p w14:paraId="64628167">
            <w:pPr>
              <w:spacing w:after="60"/>
              <w:rPr>
                <w:rFonts w:ascii="宋体" w:hAnsi="宋体"/>
                <w:szCs w:val="21"/>
              </w:rPr>
            </w:pPr>
          </w:p>
        </w:tc>
        <w:tc>
          <w:tcPr>
            <w:tcW w:w="1411" w:type="dxa"/>
            <w:vAlign w:val="center"/>
          </w:tcPr>
          <w:p w14:paraId="138CA85E">
            <w:pPr>
              <w:spacing w:after="60"/>
              <w:jc w:val="center"/>
              <w:rPr>
                <w:rFonts w:ascii="宋体" w:hAnsi="宋体"/>
                <w:szCs w:val="21"/>
              </w:rPr>
            </w:pPr>
          </w:p>
        </w:tc>
      </w:tr>
      <w:tr w14:paraId="524E68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050C539">
            <w:pPr>
              <w:spacing w:after="60"/>
              <w:jc w:val="center"/>
              <w:rPr>
                <w:rFonts w:ascii="宋体" w:hAnsi="宋体"/>
                <w:szCs w:val="21"/>
              </w:rPr>
            </w:pPr>
            <w:r>
              <w:rPr>
                <w:rFonts w:hint="eastAsia" w:ascii="宋体" w:hAnsi="宋体"/>
                <w:szCs w:val="21"/>
              </w:rPr>
              <w:t>5</w:t>
            </w:r>
          </w:p>
        </w:tc>
        <w:tc>
          <w:tcPr>
            <w:tcW w:w="2559" w:type="dxa"/>
            <w:vAlign w:val="center"/>
          </w:tcPr>
          <w:p w14:paraId="481D694F">
            <w:pPr>
              <w:spacing w:after="60"/>
              <w:jc w:val="center"/>
              <w:rPr>
                <w:rFonts w:ascii="宋体" w:hAnsi="宋体"/>
                <w:szCs w:val="21"/>
              </w:rPr>
            </w:pPr>
            <w:r>
              <w:rPr>
                <w:rFonts w:hint="eastAsia" w:ascii="宋体" w:hAnsi="宋体"/>
                <w:szCs w:val="21"/>
              </w:rPr>
              <w:t>经营范围</w:t>
            </w:r>
          </w:p>
        </w:tc>
        <w:tc>
          <w:tcPr>
            <w:tcW w:w="4432" w:type="dxa"/>
            <w:vAlign w:val="center"/>
          </w:tcPr>
          <w:p w14:paraId="434ACEBD">
            <w:pPr>
              <w:spacing w:after="60"/>
              <w:rPr>
                <w:rFonts w:ascii="宋体" w:hAnsi="宋体"/>
                <w:szCs w:val="21"/>
              </w:rPr>
            </w:pPr>
          </w:p>
        </w:tc>
        <w:tc>
          <w:tcPr>
            <w:tcW w:w="1411" w:type="dxa"/>
            <w:vAlign w:val="center"/>
          </w:tcPr>
          <w:p w14:paraId="181B6D81">
            <w:pPr>
              <w:spacing w:after="60"/>
              <w:jc w:val="center"/>
              <w:rPr>
                <w:rFonts w:ascii="宋体" w:hAnsi="宋体"/>
                <w:szCs w:val="21"/>
              </w:rPr>
            </w:pPr>
          </w:p>
        </w:tc>
      </w:tr>
      <w:tr w14:paraId="50305E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CFCA2CE">
            <w:pPr>
              <w:spacing w:after="60"/>
              <w:jc w:val="center"/>
              <w:rPr>
                <w:rFonts w:ascii="宋体" w:hAnsi="宋体"/>
                <w:szCs w:val="21"/>
              </w:rPr>
            </w:pPr>
            <w:r>
              <w:rPr>
                <w:rFonts w:hint="eastAsia" w:ascii="宋体" w:hAnsi="宋体"/>
                <w:szCs w:val="21"/>
              </w:rPr>
              <w:t>6</w:t>
            </w:r>
          </w:p>
        </w:tc>
        <w:tc>
          <w:tcPr>
            <w:tcW w:w="2559" w:type="dxa"/>
            <w:vAlign w:val="center"/>
          </w:tcPr>
          <w:p w14:paraId="4D86B87A">
            <w:pPr>
              <w:spacing w:after="60"/>
              <w:jc w:val="center"/>
              <w:rPr>
                <w:rFonts w:ascii="宋体" w:hAnsi="宋体"/>
                <w:szCs w:val="21"/>
              </w:rPr>
            </w:pPr>
            <w:r>
              <w:rPr>
                <w:rFonts w:hint="eastAsia" w:ascii="宋体" w:hAnsi="宋体"/>
                <w:szCs w:val="21"/>
              </w:rPr>
              <w:t>开户银行及账号</w:t>
            </w:r>
          </w:p>
        </w:tc>
        <w:tc>
          <w:tcPr>
            <w:tcW w:w="4432" w:type="dxa"/>
            <w:vAlign w:val="center"/>
          </w:tcPr>
          <w:p w14:paraId="5AE3B1BE">
            <w:pPr>
              <w:spacing w:after="60"/>
              <w:rPr>
                <w:rFonts w:ascii="宋体" w:hAnsi="宋体"/>
                <w:szCs w:val="21"/>
              </w:rPr>
            </w:pPr>
          </w:p>
        </w:tc>
        <w:tc>
          <w:tcPr>
            <w:tcW w:w="1411" w:type="dxa"/>
            <w:vAlign w:val="center"/>
          </w:tcPr>
          <w:p w14:paraId="1ACA57BD">
            <w:pPr>
              <w:spacing w:after="60"/>
              <w:jc w:val="center"/>
              <w:rPr>
                <w:rFonts w:ascii="宋体" w:hAnsi="宋体"/>
                <w:szCs w:val="21"/>
              </w:rPr>
            </w:pPr>
          </w:p>
        </w:tc>
      </w:tr>
      <w:tr w14:paraId="0F2EC2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F8E3CBB">
            <w:pPr>
              <w:spacing w:after="60"/>
              <w:jc w:val="center"/>
              <w:rPr>
                <w:rFonts w:ascii="宋体" w:hAnsi="宋体"/>
                <w:szCs w:val="21"/>
              </w:rPr>
            </w:pPr>
            <w:r>
              <w:rPr>
                <w:rFonts w:hint="eastAsia" w:ascii="宋体" w:hAnsi="宋体"/>
                <w:szCs w:val="21"/>
              </w:rPr>
              <w:t>7</w:t>
            </w:r>
          </w:p>
        </w:tc>
        <w:tc>
          <w:tcPr>
            <w:tcW w:w="2559" w:type="dxa"/>
            <w:vAlign w:val="center"/>
          </w:tcPr>
          <w:p w14:paraId="0CD5DB79">
            <w:pPr>
              <w:spacing w:after="60"/>
              <w:jc w:val="center"/>
              <w:rPr>
                <w:rFonts w:ascii="宋体" w:hAnsi="宋体"/>
                <w:szCs w:val="21"/>
              </w:rPr>
            </w:pPr>
            <w:r>
              <w:rPr>
                <w:rFonts w:hint="eastAsia" w:ascii="宋体" w:hAnsi="宋体"/>
                <w:szCs w:val="21"/>
              </w:rPr>
              <w:t>联系方式</w:t>
            </w:r>
          </w:p>
        </w:tc>
        <w:tc>
          <w:tcPr>
            <w:tcW w:w="4432" w:type="dxa"/>
            <w:vAlign w:val="center"/>
          </w:tcPr>
          <w:p w14:paraId="4B6BC410">
            <w:pPr>
              <w:spacing w:after="60"/>
              <w:rPr>
                <w:rFonts w:ascii="宋体" w:hAnsi="宋体"/>
                <w:szCs w:val="21"/>
              </w:rPr>
            </w:pPr>
          </w:p>
        </w:tc>
        <w:tc>
          <w:tcPr>
            <w:tcW w:w="1411" w:type="dxa"/>
            <w:vAlign w:val="center"/>
          </w:tcPr>
          <w:p w14:paraId="79DAF1AD">
            <w:pPr>
              <w:spacing w:after="60"/>
              <w:jc w:val="center"/>
              <w:rPr>
                <w:rFonts w:ascii="宋体" w:hAnsi="宋体"/>
                <w:szCs w:val="21"/>
              </w:rPr>
            </w:pPr>
          </w:p>
        </w:tc>
      </w:tr>
      <w:tr w14:paraId="51EC1E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594A334">
            <w:pPr>
              <w:spacing w:after="60"/>
              <w:jc w:val="center"/>
              <w:rPr>
                <w:rFonts w:ascii="宋体" w:hAnsi="宋体"/>
                <w:b/>
                <w:szCs w:val="21"/>
              </w:rPr>
            </w:pPr>
            <w:r>
              <w:rPr>
                <w:rFonts w:hint="eastAsia" w:ascii="宋体" w:hAnsi="宋体"/>
                <w:b/>
                <w:szCs w:val="21"/>
              </w:rPr>
              <w:t>二</w:t>
            </w:r>
          </w:p>
        </w:tc>
        <w:tc>
          <w:tcPr>
            <w:tcW w:w="2559" w:type="dxa"/>
            <w:vAlign w:val="center"/>
          </w:tcPr>
          <w:p w14:paraId="0FDCFDEE">
            <w:pPr>
              <w:spacing w:after="60"/>
              <w:jc w:val="left"/>
              <w:rPr>
                <w:rFonts w:ascii="宋体" w:hAnsi="宋体"/>
                <w:b/>
                <w:szCs w:val="21"/>
              </w:rPr>
            </w:pPr>
            <w:r>
              <w:rPr>
                <w:rFonts w:hint="eastAsia" w:ascii="宋体" w:hAnsi="宋体"/>
                <w:b/>
                <w:szCs w:val="21"/>
              </w:rPr>
              <w:t>其他材料</w:t>
            </w:r>
          </w:p>
        </w:tc>
        <w:tc>
          <w:tcPr>
            <w:tcW w:w="4432" w:type="dxa"/>
            <w:vAlign w:val="center"/>
          </w:tcPr>
          <w:p w14:paraId="06AB79AB">
            <w:pPr>
              <w:spacing w:after="60"/>
              <w:rPr>
                <w:rFonts w:ascii="宋体" w:hAnsi="宋体"/>
                <w:szCs w:val="21"/>
              </w:rPr>
            </w:pPr>
          </w:p>
        </w:tc>
        <w:tc>
          <w:tcPr>
            <w:tcW w:w="1411" w:type="dxa"/>
            <w:vAlign w:val="center"/>
          </w:tcPr>
          <w:p w14:paraId="3920B14A">
            <w:pPr>
              <w:spacing w:after="60"/>
              <w:jc w:val="center"/>
              <w:rPr>
                <w:rFonts w:ascii="宋体" w:hAnsi="宋体"/>
                <w:szCs w:val="21"/>
              </w:rPr>
            </w:pPr>
          </w:p>
        </w:tc>
      </w:tr>
    </w:tbl>
    <w:p w14:paraId="75E71889">
      <w:pPr>
        <w:spacing w:line="360" w:lineRule="exact"/>
        <w:rPr>
          <w:bCs/>
          <w:szCs w:val="21"/>
        </w:rPr>
      </w:pPr>
      <w:r>
        <w:rPr>
          <w:rFonts w:hint="eastAsia"/>
          <w:bCs/>
          <w:szCs w:val="21"/>
        </w:rPr>
        <w:t>注：供应商应填写上述表格内容，并可根据自身情况自行对表格内容进行补充和完善。</w:t>
      </w:r>
    </w:p>
    <w:p w14:paraId="70086EB6">
      <w:pPr>
        <w:ind w:left="632" w:hanging="632" w:hangingChars="300"/>
        <w:rPr>
          <w:b/>
          <w:bCs/>
        </w:rPr>
      </w:pPr>
    </w:p>
    <w:p w14:paraId="4C7CF03B">
      <w:pPr>
        <w:rPr>
          <w:rFonts w:ascii="宋体" w:hAnsi="宋体"/>
          <w:szCs w:val="21"/>
        </w:rPr>
      </w:pPr>
      <w:r>
        <w:rPr>
          <w:rFonts w:hint="eastAsia"/>
          <w:szCs w:val="21"/>
          <w:u w:val="single"/>
        </w:rPr>
        <w:t>（备注：如联合体投标，联合体各方均需提供情况介绍）</w:t>
      </w:r>
    </w:p>
    <w:p w14:paraId="0F847EEC">
      <w:pPr>
        <w:ind w:left="632" w:hanging="632" w:hangingChars="300"/>
        <w:rPr>
          <w:b/>
          <w:bCs/>
        </w:rPr>
      </w:pPr>
    </w:p>
    <w:p w14:paraId="620EF289">
      <w:pPr>
        <w:ind w:left="632" w:hanging="632" w:hangingChars="300"/>
        <w:rPr>
          <w:b/>
          <w:bCs/>
        </w:rPr>
      </w:pPr>
    </w:p>
    <w:p w14:paraId="2EB6536A">
      <w:pPr>
        <w:jc w:val="center"/>
        <w:outlineLvl w:val="3"/>
        <w:rPr>
          <w:rFonts w:ascii="黑体" w:hAnsi="宋体" w:eastAsia="黑体"/>
          <w:bCs/>
          <w:kern w:val="0"/>
          <w:sz w:val="24"/>
          <w:szCs w:val="32"/>
        </w:rPr>
      </w:pPr>
      <w:r>
        <w:rPr>
          <w:rFonts w:hint="eastAsia" w:ascii="黑体" w:hAnsi="宋体" w:eastAsia="黑体"/>
          <w:bCs/>
          <w:kern w:val="0"/>
          <w:sz w:val="24"/>
          <w:szCs w:val="32"/>
        </w:rPr>
        <w:t>四、中小企业声明函等符合政府采购扶持政策的证明材料</w:t>
      </w:r>
    </w:p>
    <w:p w14:paraId="24C099E3">
      <w:pPr>
        <w:jc w:val="left"/>
        <w:outlineLvl w:val="3"/>
        <w:rPr>
          <w:rFonts w:ascii="黑体" w:hAnsi="宋体" w:eastAsia="黑体"/>
          <w:bCs/>
          <w:kern w:val="0"/>
          <w:sz w:val="24"/>
          <w:szCs w:val="32"/>
        </w:rPr>
      </w:pPr>
    </w:p>
    <w:p w14:paraId="3746E42D">
      <w:pPr>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278AD5F7">
      <w:pPr>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0203E96E">
      <w:pPr>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4DB591E2">
      <w:pPr>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31AE75D3">
      <w:pPr>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12" w:name="_Hlk71925120"/>
      <w:r>
        <w:rPr>
          <w:rFonts w:hint="eastAsia" w:asciiTheme="minorEastAsia" w:hAnsiTheme="minorEastAsia" w:eastAsiaTheme="minorEastAsia"/>
          <w:kern w:val="0"/>
          <w:szCs w:val="21"/>
        </w:rPr>
        <w:t>《关于印发中小企业划型标准规定的通知》（工信部联企业〔2011〕300 号</w:t>
      </w:r>
      <w:bookmarkEnd w:id="12"/>
      <w:r>
        <w:rPr>
          <w:rFonts w:hint="eastAsia" w:asciiTheme="minorEastAsia" w:hAnsiTheme="minorEastAsia" w:eastAsiaTheme="minorEastAsia"/>
          <w:kern w:val="0"/>
          <w:szCs w:val="21"/>
        </w:rPr>
        <w:t>）</w:t>
      </w:r>
    </w:p>
    <w:p w14:paraId="1D892E9B">
      <w:pPr>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120EEDD7">
      <w:pPr>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65A2963">
      <w:pPr>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5F1F9E5">
      <w:pPr>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3、请依照招标文件提供的格式和内容填写声明函，不要随意变更格式；声明函不需要盖章或签字；满足多项优惠政策的投标人，不重复享受多项价格扣除政策。</w:t>
      </w:r>
    </w:p>
    <w:p w14:paraId="6B740D1E">
      <w:pPr>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64DAFFFB">
      <w:pPr>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7287F366">
      <w:pPr>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2EE606A">
      <w:pPr>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w:t>
      </w:r>
      <w:r>
        <w:rPr>
          <w:rFonts w:hint="eastAsia" w:asciiTheme="minorEastAsia" w:hAnsiTheme="minorEastAsia" w:eastAsiaTheme="minorEastAsia"/>
          <w:b/>
          <w:color w:val="FF0000"/>
          <w:kern w:val="0"/>
          <w:szCs w:val="21"/>
        </w:rPr>
        <w:t>采购标的（货物或服务或工程）的具体名称</w:t>
      </w:r>
      <w:r>
        <w:rPr>
          <w:rFonts w:hint="eastAsia" w:asciiTheme="minorEastAsia" w:hAnsiTheme="minorEastAsia" w:eastAsiaTheme="minorEastAsia"/>
          <w:b/>
          <w:bCs/>
          <w:color w:val="FF0000"/>
          <w:kern w:val="0"/>
          <w:szCs w:val="21"/>
        </w:rPr>
        <w:t>（具体详见第二章招标项目需求，如涉及多项标的，投标人需逐项进行响应）</w:t>
      </w:r>
      <w:r>
        <w:rPr>
          <w:rFonts w:hint="eastAsia" w:asciiTheme="minorEastAsia" w:hAnsiTheme="minorEastAsia" w:eastAsiaTheme="minorEastAsia"/>
          <w:kern w:val="0"/>
          <w:szCs w:val="21"/>
        </w:rPr>
        <w:t>；</w:t>
      </w:r>
    </w:p>
    <w:p w14:paraId="798FC7A6">
      <w:pPr>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w:t>
      </w:r>
      <w:r>
        <w:rPr>
          <w:rFonts w:hint="eastAsia" w:asciiTheme="minorEastAsia" w:hAnsiTheme="minorEastAsia" w:eastAsiaTheme="minorEastAsia"/>
          <w:b/>
          <w:color w:val="FF0000"/>
          <w:kern w:val="0"/>
          <w:szCs w:val="21"/>
        </w:rPr>
        <w:t>采购文件规定的本项目所属行业</w:t>
      </w:r>
      <w:r>
        <w:rPr>
          <w:rFonts w:hint="eastAsia" w:asciiTheme="minorEastAsia" w:hAnsiTheme="minorEastAsia" w:eastAsiaTheme="minorEastAsia"/>
          <w:b/>
          <w:bCs/>
          <w:color w:val="FF0000"/>
          <w:kern w:val="0"/>
          <w:szCs w:val="21"/>
        </w:rPr>
        <w:t>（详见其它关键信息）</w:t>
      </w:r>
      <w:r>
        <w:rPr>
          <w:rFonts w:hint="eastAsia" w:asciiTheme="minorEastAsia" w:hAnsiTheme="minorEastAsia" w:eastAsiaTheme="minorEastAsia"/>
          <w:kern w:val="0"/>
          <w:szCs w:val="21"/>
        </w:rPr>
        <w:t>；</w:t>
      </w:r>
    </w:p>
    <w:p w14:paraId="65D9EA9A">
      <w:pPr>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3FEA7AF3">
      <w:pPr>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14:paraId="2B388EDE">
      <w:pPr>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4DF5C0C9">
      <w:pPr>
        <w:snapToGrid w:val="0"/>
        <w:spacing w:line="360" w:lineRule="auto"/>
        <w:jc w:val="left"/>
        <w:rPr>
          <w:rFonts w:ascii="Times New Roman" w:hAnsi="Times New Roman"/>
          <w:b/>
          <w:bCs/>
          <w:szCs w:val="24"/>
        </w:rPr>
      </w:pPr>
      <w:r>
        <w:rPr>
          <w:rFonts w:hint="eastAsia" w:asciiTheme="minorEastAsia" w:hAnsiTheme="minorEastAsia" w:eastAsiaTheme="minorEastAsia"/>
          <w:kern w:val="0"/>
          <w:szCs w:val="21"/>
        </w:rPr>
        <w:t xml:space="preserve">    </w:t>
      </w:r>
    </w:p>
    <w:p w14:paraId="6129A446">
      <w:pPr>
        <w:jc w:val="center"/>
        <w:outlineLvl w:val="3"/>
        <w:rPr>
          <w:rFonts w:ascii="黑体" w:hAnsi="宋体" w:eastAsia="黑体"/>
          <w:bCs/>
          <w:kern w:val="0"/>
          <w:sz w:val="24"/>
          <w:szCs w:val="32"/>
        </w:rPr>
      </w:pPr>
    </w:p>
    <w:p w14:paraId="533EA182">
      <w:pPr>
        <w:spacing w:after="60"/>
        <w:jc w:val="center"/>
        <w:outlineLvl w:val="3"/>
        <w:rPr>
          <w:b/>
          <w:sz w:val="24"/>
        </w:rPr>
      </w:pPr>
      <w:r>
        <w:rPr>
          <w:rFonts w:hint="eastAsia"/>
          <w:b/>
          <w:sz w:val="24"/>
        </w:rPr>
        <w:t>1、中小企业声明函</w:t>
      </w:r>
    </w:p>
    <w:p w14:paraId="031C45BD">
      <w:pPr>
        <w:pStyle w:val="19"/>
        <w:spacing w:line="360" w:lineRule="exact"/>
        <w:ind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服务全部由符合政策要求的中小企业承接</w:t>
      </w:r>
      <w:r>
        <w:rPr>
          <w:rFonts w:asciiTheme="minorEastAsia" w:hAnsiTheme="minorEastAsia" w:eastAsiaTheme="minorEastAsia"/>
          <w:b w:val="0"/>
          <w:sz w:val="21"/>
          <w:szCs w:val="21"/>
        </w:rPr>
        <w:t>。相关企业（含联合体中的中小企业、签订分包意向协议的中小企业）的具体情况如下：</w:t>
      </w:r>
    </w:p>
    <w:p w14:paraId="685F5B05">
      <w:pPr>
        <w:pStyle w:val="19"/>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20FB250C">
      <w:pPr>
        <w:pStyle w:val="19"/>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2F77926F">
      <w:pPr>
        <w:pStyle w:val="19"/>
        <w:spacing w:before="11" w:line="360" w:lineRule="exact"/>
        <w:ind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14:paraId="1840FA71">
      <w:pPr>
        <w:pStyle w:val="19"/>
        <w:spacing w:before="108" w:line="360" w:lineRule="exact"/>
        <w:ind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14:paraId="31584075">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29783A7D">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FB11251">
      <w:pPr>
        <w:spacing w:line="360" w:lineRule="exact"/>
        <w:ind w:firstLine="420" w:firstLineChars="200"/>
        <w:rPr>
          <w:rFonts w:asciiTheme="minorEastAsia" w:hAnsiTheme="minorEastAsia" w:eastAsiaTheme="minorEastAsia"/>
          <w:szCs w:val="21"/>
        </w:rPr>
      </w:pPr>
    </w:p>
    <w:p w14:paraId="613FC08E">
      <w:pPr>
        <w:spacing w:line="360" w:lineRule="exact"/>
        <w:jc w:val="center"/>
        <w:rPr>
          <w:rFonts w:ascii="Times New Roman" w:hAnsi="Times New Roman"/>
          <w:szCs w:val="24"/>
        </w:rPr>
      </w:pPr>
      <w:r>
        <w:rPr>
          <w:rFonts w:hint="eastAsia" w:ascii="Times New Roman" w:hAnsi="Times New Roman"/>
          <w:szCs w:val="21"/>
        </w:rPr>
        <w:t xml:space="preserve">                           企业名称：</w:t>
      </w:r>
    </w:p>
    <w:p w14:paraId="3613B756">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B99F1A3">
      <w:pPr>
        <w:spacing w:line="360" w:lineRule="exact"/>
        <w:ind w:firstLine="420" w:firstLineChars="200"/>
        <w:rPr>
          <w:rFonts w:ascii="宋体" w:hAnsi="宋体"/>
          <w:szCs w:val="21"/>
        </w:rPr>
      </w:pPr>
      <w:r>
        <w:rPr>
          <w:rFonts w:hint="eastAsia" w:ascii="宋体" w:hAnsi="宋体"/>
          <w:szCs w:val="21"/>
        </w:rPr>
        <w:t>备注：</w:t>
      </w:r>
    </w:p>
    <w:p w14:paraId="4B529B47">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4E3297BB">
      <w:pPr>
        <w:spacing w:line="360" w:lineRule="exact"/>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3192E00E">
      <w:pPr>
        <w:spacing w:line="360" w:lineRule="exact"/>
        <w:ind w:firstLine="420" w:firstLineChars="200"/>
        <w:rPr>
          <w:rFonts w:ascii="宋体" w:hAnsi="宋体"/>
          <w:szCs w:val="21"/>
        </w:rPr>
      </w:pPr>
    </w:p>
    <w:p w14:paraId="178F28AA">
      <w:pPr>
        <w:spacing w:after="60" w:line="360" w:lineRule="exact"/>
        <w:jc w:val="center"/>
        <w:outlineLvl w:val="3"/>
        <w:rPr>
          <w:b/>
          <w:sz w:val="24"/>
        </w:rPr>
      </w:pPr>
      <w:r>
        <w:rPr>
          <w:rFonts w:hint="eastAsia"/>
          <w:b/>
          <w:sz w:val="24"/>
        </w:rPr>
        <w:t>2、监狱企业声明函</w:t>
      </w:r>
    </w:p>
    <w:p w14:paraId="3D792A3C">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1B41CA74">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4F8D772">
      <w:pPr>
        <w:spacing w:line="360" w:lineRule="exact"/>
        <w:jc w:val="center"/>
      </w:pPr>
      <w:r>
        <w:rPr>
          <w:rFonts w:hint="eastAsia"/>
          <w:szCs w:val="21"/>
        </w:rPr>
        <w:t xml:space="preserve">                             单位名称：</w:t>
      </w:r>
    </w:p>
    <w:p w14:paraId="30986EE3">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29D1EB4">
      <w:pPr>
        <w:spacing w:line="360" w:lineRule="exact"/>
        <w:ind w:firstLine="645"/>
        <w:rPr>
          <w:rFonts w:ascii="宋体"/>
          <w:b/>
          <w:szCs w:val="21"/>
        </w:rPr>
      </w:pPr>
      <w:r>
        <w:rPr>
          <w:rFonts w:hint="eastAsia" w:ascii="宋体" w:hAnsi="宋体"/>
          <w:szCs w:val="21"/>
        </w:rPr>
        <w:t xml:space="preserve">                                    </w:t>
      </w:r>
    </w:p>
    <w:p w14:paraId="1A1DC3BF">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09C4E76C">
      <w:pPr>
        <w:ind w:left="723" w:hanging="723" w:hangingChars="300"/>
        <w:rPr>
          <w:b/>
          <w:sz w:val="24"/>
        </w:rPr>
      </w:pPr>
    </w:p>
    <w:p w14:paraId="40EAB3FC">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3CCB8B6">
      <w:pPr>
        <w:spacing w:after="60" w:line="360" w:lineRule="exact"/>
        <w:ind w:firstLine="420" w:firstLineChars="200"/>
        <w:rPr>
          <w:rFonts w:ascii="宋体" w:hAnsi="宋体"/>
          <w:szCs w:val="21"/>
        </w:rPr>
      </w:pPr>
      <w:r>
        <w:rPr>
          <w:rFonts w:hint="eastAsia" w:ascii="宋体" w:hAnsi="宋体"/>
          <w:szCs w:val="21"/>
        </w:rPr>
        <w:t xml:space="preserve">                                     </w:t>
      </w:r>
    </w:p>
    <w:p w14:paraId="0F2939AB">
      <w:pPr>
        <w:spacing w:after="60" w:line="360" w:lineRule="exact"/>
        <w:jc w:val="center"/>
        <w:outlineLvl w:val="3"/>
        <w:rPr>
          <w:b/>
          <w:bCs/>
        </w:rPr>
      </w:pPr>
      <w:r>
        <w:rPr>
          <w:rFonts w:hint="eastAsia"/>
          <w:b/>
          <w:sz w:val="24"/>
        </w:rPr>
        <w:t>3、残疾人福利性单位声明函</w:t>
      </w:r>
    </w:p>
    <w:p w14:paraId="306A07F0">
      <w:pPr>
        <w:spacing w:line="36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3414F8E7">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5E2CA78">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3B475AA1">
      <w:pPr>
        <w:spacing w:line="360" w:lineRule="exact"/>
        <w:jc w:val="center"/>
      </w:pPr>
      <w:r>
        <w:rPr>
          <w:rFonts w:hint="eastAsia"/>
          <w:szCs w:val="21"/>
        </w:rPr>
        <w:t xml:space="preserve">                             单位名称：</w:t>
      </w:r>
    </w:p>
    <w:p w14:paraId="180AB06E">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93AC4E0">
      <w:pPr>
        <w:ind w:firstLine="420" w:firstLineChars="200"/>
        <w:jc w:val="left"/>
        <w:outlineLvl w:val="3"/>
        <w:rPr>
          <w:rFonts w:ascii="黑体" w:hAnsi="宋体" w:eastAsia="黑体"/>
          <w:bCs/>
          <w:kern w:val="0"/>
          <w:sz w:val="24"/>
          <w:szCs w:val="32"/>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6391567">
      <w:pPr>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44"/>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1073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14CAAD93">
            <w:pPr>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54483670">
            <w:pPr>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1F38769F">
            <w:pPr>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51E36C45">
            <w:pPr>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3A10A22C">
            <w:pPr>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5FC10343">
            <w:pPr>
              <w:jc w:val="center"/>
              <w:rPr>
                <w:rFonts w:ascii="Times New Roman" w:hAnsi="Times New Roman"/>
                <w:b/>
                <w:szCs w:val="21"/>
              </w:rPr>
            </w:pPr>
            <w:r>
              <w:rPr>
                <w:rFonts w:hint="eastAsia" w:ascii="Times New Roman" w:hAnsi="Times New Roman"/>
                <w:b/>
                <w:szCs w:val="21"/>
              </w:rPr>
              <w:t>备注</w:t>
            </w:r>
          </w:p>
        </w:tc>
      </w:tr>
      <w:tr w14:paraId="7130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A60CEC8">
            <w:pPr>
              <w:rPr>
                <w:rFonts w:ascii="Times New Roman" w:hAnsi="Times New Roman"/>
                <w:szCs w:val="21"/>
              </w:rPr>
            </w:pPr>
          </w:p>
        </w:tc>
        <w:tc>
          <w:tcPr>
            <w:tcW w:w="1213" w:type="dxa"/>
            <w:vMerge w:val="continue"/>
            <w:vAlign w:val="center"/>
          </w:tcPr>
          <w:p w14:paraId="43642CC3">
            <w:pPr>
              <w:rPr>
                <w:rFonts w:ascii="Times New Roman" w:hAnsi="Times New Roman"/>
                <w:szCs w:val="21"/>
              </w:rPr>
            </w:pPr>
          </w:p>
        </w:tc>
        <w:tc>
          <w:tcPr>
            <w:tcW w:w="1840" w:type="dxa"/>
            <w:vMerge w:val="continue"/>
            <w:vAlign w:val="center"/>
          </w:tcPr>
          <w:p w14:paraId="4D817270">
            <w:pPr>
              <w:rPr>
                <w:rFonts w:ascii="Times New Roman" w:hAnsi="Times New Roman"/>
                <w:szCs w:val="21"/>
              </w:rPr>
            </w:pPr>
          </w:p>
        </w:tc>
        <w:tc>
          <w:tcPr>
            <w:tcW w:w="818" w:type="dxa"/>
            <w:vAlign w:val="center"/>
          </w:tcPr>
          <w:p w14:paraId="62845B8A">
            <w:pPr>
              <w:rPr>
                <w:rFonts w:ascii="Times New Roman" w:hAnsi="Times New Roman"/>
                <w:szCs w:val="21"/>
              </w:rPr>
            </w:pPr>
            <w:r>
              <w:rPr>
                <w:rFonts w:hint="eastAsia" w:ascii="Times New Roman" w:hAnsi="Times New Roman"/>
                <w:szCs w:val="21"/>
              </w:rPr>
              <w:t>数量</w:t>
            </w:r>
          </w:p>
        </w:tc>
        <w:tc>
          <w:tcPr>
            <w:tcW w:w="1241" w:type="dxa"/>
            <w:vAlign w:val="center"/>
          </w:tcPr>
          <w:p w14:paraId="518A3467">
            <w:pPr>
              <w:jc w:val="center"/>
              <w:rPr>
                <w:rFonts w:ascii="Times New Roman" w:hAnsi="Times New Roman"/>
                <w:szCs w:val="21"/>
              </w:rPr>
            </w:pPr>
            <w:r>
              <w:rPr>
                <w:rFonts w:hint="eastAsia" w:ascii="Times New Roman" w:hAnsi="Times New Roman"/>
                <w:szCs w:val="21"/>
              </w:rPr>
              <w:t>投标单价（元）</w:t>
            </w:r>
          </w:p>
        </w:tc>
        <w:tc>
          <w:tcPr>
            <w:tcW w:w="2292" w:type="dxa"/>
            <w:vAlign w:val="center"/>
          </w:tcPr>
          <w:p w14:paraId="241EEB6E">
            <w:pPr>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4FA4D56A">
            <w:pPr>
              <w:rPr>
                <w:rFonts w:ascii="Times New Roman" w:hAnsi="Times New Roman"/>
                <w:szCs w:val="21"/>
              </w:rPr>
            </w:pPr>
          </w:p>
        </w:tc>
        <w:tc>
          <w:tcPr>
            <w:tcW w:w="720" w:type="dxa"/>
            <w:vMerge w:val="continue"/>
            <w:vAlign w:val="center"/>
          </w:tcPr>
          <w:p w14:paraId="4117A040">
            <w:pPr>
              <w:rPr>
                <w:rFonts w:ascii="Times New Roman" w:hAnsi="Times New Roman"/>
                <w:szCs w:val="21"/>
              </w:rPr>
            </w:pPr>
          </w:p>
        </w:tc>
      </w:tr>
      <w:tr w14:paraId="6C1F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F39CFA6">
            <w:pPr>
              <w:jc w:val="center"/>
              <w:rPr>
                <w:rFonts w:ascii="宋体" w:hAnsi="宋体"/>
                <w:szCs w:val="21"/>
              </w:rPr>
            </w:pPr>
            <w:r>
              <w:rPr>
                <w:rFonts w:hint="eastAsia" w:ascii="宋体" w:hAnsi="宋体"/>
                <w:szCs w:val="21"/>
              </w:rPr>
              <w:t>1</w:t>
            </w:r>
          </w:p>
        </w:tc>
        <w:tc>
          <w:tcPr>
            <w:tcW w:w="1213" w:type="dxa"/>
            <w:vAlign w:val="center"/>
          </w:tcPr>
          <w:p w14:paraId="57D6A95A">
            <w:pPr>
              <w:jc w:val="center"/>
              <w:rPr>
                <w:rFonts w:ascii="Times New Roman" w:hAnsi="Times New Roman"/>
                <w:szCs w:val="21"/>
              </w:rPr>
            </w:pPr>
          </w:p>
        </w:tc>
        <w:tc>
          <w:tcPr>
            <w:tcW w:w="1840" w:type="dxa"/>
            <w:vAlign w:val="center"/>
          </w:tcPr>
          <w:p w14:paraId="377166FA">
            <w:pPr>
              <w:jc w:val="center"/>
              <w:rPr>
                <w:rFonts w:ascii="Times New Roman" w:hAnsi="Times New Roman"/>
                <w:szCs w:val="21"/>
              </w:rPr>
            </w:pPr>
          </w:p>
        </w:tc>
        <w:tc>
          <w:tcPr>
            <w:tcW w:w="818" w:type="dxa"/>
            <w:vAlign w:val="center"/>
          </w:tcPr>
          <w:p w14:paraId="66C47B6A">
            <w:pPr>
              <w:jc w:val="center"/>
              <w:rPr>
                <w:rFonts w:ascii="Times New Roman" w:hAnsi="Times New Roman"/>
                <w:szCs w:val="21"/>
              </w:rPr>
            </w:pPr>
          </w:p>
        </w:tc>
        <w:tc>
          <w:tcPr>
            <w:tcW w:w="1241" w:type="dxa"/>
            <w:vAlign w:val="center"/>
          </w:tcPr>
          <w:p w14:paraId="50C63484">
            <w:pPr>
              <w:jc w:val="center"/>
              <w:rPr>
                <w:rFonts w:ascii="Times New Roman" w:hAnsi="Times New Roman"/>
                <w:szCs w:val="21"/>
              </w:rPr>
            </w:pPr>
          </w:p>
        </w:tc>
        <w:tc>
          <w:tcPr>
            <w:tcW w:w="2292" w:type="dxa"/>
            <w:vAlign w:val="center"/>
          </w:tcPr>
          <w:p w14:paraId="622C1F24">
            <w:pPr>
              <w:jc w:val="center"/>
              <w:rPr>
                <w:rFonts w:ascii="Times New Roman" w:hAnsi="Times New Roman"/>
                <w:szCs w:val="21"/>
              </w:rPr>
            </w:pPr>
          </w:p>
        </w:tc>
        <w:tc>
          <w:tcPr>
            <w:tcW w:w="1503" w:type="dxa"/>
            <w:vAlign w:val="center"/>
          </w:tcPr>
          <w:p w14:paraId="4A1146BB">
            <w:pPr>
              <w:jc w:val="center"/>
              <w:rPr>
                <w:rFonts w:ascii="Times New Roman" w:hAnsi="Times New Roman"/>
                <w:szCs w:val="21"/>
              </w:rPr>
            </w:pPr>
          </w:p>
        </w:tc>
        <w:tc>
          <w:tcPr>
            <w:tcW w:w="720" w:type="dxa"/>
            <w:vAlign w:val="center"/>
          </w:tcPr>
          <w:p w14:paraId="2C8304A0">
            <w:pPr>
              <w:jc w:val="center"/>
              <w:rPr>
                <w:rFonts w:ascii="Times New Roman" w:hAnsi="Times New Roman"/>
                <w:szCs w:val="21"/>
              </w:rPr>
            </w:pPr>
          </w:p>
        </w:tc>
      </w:tr>
      <w:tr w14:paraId="04ED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E1E1DC">
            <w:pPr>
              <w:jc w:val="center"/>
              <w:rPr>
                <w:rFonts w:ascii="宋体" w:hAnsi="宋体"/>
                <w:szCs w:val="21"/>
              </w:rPr>
            </w:pPr>
            <w:r>
              <w:rPr>
                <w:rFonts w:hint="eastAsia" w:ascii="宋体" w:hAnsi="宋体"/>
                <w:szCs w:val="21"/>
              </w:rPr>
              <w:t>2</w:t>
            </w:r>
          </w:p>
        </w:tc>
        <w:tc>
          <w:tcPr>
            <w:tcW w:w="1213" w:type="dxa"/>
            <w:vAlign w:val="center"/>
          </w:tcPr>
          <w:p w14:paraId="7EEEA8E4">
            <w:pPr>
              <w:jc w:val="center"/>
              <w:rPr>
                <w:rFonts w:ascii="Times New Roman" w:hAnsi="Times New Roman"/>
                <w:szCs w:val="21"/>
              </w:rPr>
            </w:pPr>
          </w:p>
        </w:tc>
        <w:tc>
          <w:tcPr>
            <w:tcW w:w="1840" w:type="dxa"/>
            <w:vAlign w:val="center"/>
          </w:tcPr>
          <w:p w14:paraId="4C0CB469">
            <w:pPr>
              <w:jc w:val="center"/>
              <w:rPr>
                <w:rFonts w:ascii="Times New Roman" w:hAnsi="Times New Roman"/>
                <w:szCs w:val="21"/>
              </w:rPr>
            </w:pPr>
          </w:p>
        </w:tc>
        <w:tc>
          <w:tcPr>
            <w:tcW w:w="818" w:type="dxa"/>
            <w:vAlign w:val="center"/>
          </w:tcPr>
          <w:p w14:paraId="5D27F66A">
            <w:pPr>
              <w:jc w:val="center"/>
              <w:rPr>
                <w:rFonts w:ascii="Times New Roman" w:hAnsi="Times New Roman"/>
                <w:szCs w:val="21"/>
              </w:rPr>
            </w:pPr>
          </w:p>
        </w:tc>
        <w:tc>
          <w:tcPr>
            <w:tcW w:w="1241" w:type="dxa"/>
            <w:vAlign w:val="center"/>
          </w:tcPr>
          <w:p w14:paraId="647A79D6">
            <w:pPr>
              <w:jc w:val="center"/>
              <w:rPr>
                <w:rFonts w:ascii="Times New Roman" w:hAnsi="Times New Roman"/>
                <w:szCs w:val="21"/>
              </w:rPr>
            </w:pPr>
          </w:p>
        </w:tc>
        <w:tc>
          <w:tcPr>
            <w:tcW w:w="2292" w:type="dxa"/>
            <w:vAlign w:val="center"/>
          </w:tcPr>
          <w:p w14:paraId="0BC06543">
            <w:pPr>
              <w:jc w:val="center"/>
              <w:rPr>
                <w:rFonts w:ascii="Times New Roman" w:hAnsi="Times New Roman"/>
                <w:szCs w:val="21"/>
              </w:rPr>
            </w:pPr>
          </w:p>
        </w:tc>
        <w:tc>
          <w:tcPr>
            <w:tcW w:w="1503" w:type="dxa"/>
            <w:vAlign w:val="center"/>
          </w:tcPr>
          <w:p w14:paraId="1EDAC707">
            <w:pPr>
              <w:jc w:val="center"/>
              <w:rPr>
                <w:rFonts w:ascii="Times New Roman" w:hAnsi="Times New Roman"/>
                <w:szCs w:val="21"/>
              </w:rPr>
            </w:pPr>
          </w:p>
        </w:tc>
        <w:tc>
          <w:tcPr>
            <w:tcW w:w="720" w:type="dxa"/>
            <w:vAlign w:val="center"/>
          </w:tcPr>
          <w:p w14:paraId="6103ACB8">
            <w:pPr>
              <w:jc w:val="center"/>
              <w:rPr>
                <w:rFonts w:ascii="Times New Roman" w:hAnsi="Times New Roman"/>
                <w:szCs w:val="21"/>
              </w:rPr>
            </w:pPr>
          </w:p>
        </w:tc>
      </w:tr>
    </w:tbl>
    <w:p w14:paraId="30BA4B4B">
      <w:pPr>
        <w:spacing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4F40C8B7">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65E4E4B8">
      <w:pPr>
        <w:spacing w:line="360" w:lineRule="auto"/>
      </w:pPr>
      <w:r>
        <w:rPr>
          <w:rFonts w:hint="eastAsia" w:ascii="宋体" w:hAnsi="宋体"/>
          <w:szCs w:val="21"/>
        </w:rPr>
        <w:t>3. “属于优先采购清单的类别”栏中填写“节能产品政府采购品目清单”或“环境标志产品政府采购品目清单”。</w:t>
      </w:r>
      <w:r>
        <w:br w:type="page"/>
      </w:r>
    </w:p>
    <w:p w14:paraId="534D0D6F">
      <w:pPr>
        <w:rPr>
          <w:rFonts w:ascii="仿宋_GB2312" w:eastAsia="仿宋_GB2312"/>
          <w:b/>
          <w:color w:val="FF0000"/>
          <w:sz w:val="30"/>
          <w:szCs w:val="30"/>
        </w:rPr>
      </w:pPr>
      <w:r>
        <w:rPr>
          <w:rFonts w:hint="eastAsia" w:ascii="仿宋_GB2312" w:eastAsia="仿宋_GB2312"/>
          <w:b/>
          <w:color w:val="FF0000"/>
          <w:sz w:val="30"/>
          <w:szCs w:val="30"/>
        </w:rPr>
        <w:t>投标文件附件（信息不公开部分）：</w:t>
      </w:r>
    </w:p>
    <w:p w14:paraId="3D0161DC">
      <w:pPr>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14:paraId="1945F11B">
      <w:pPr>
        <w:spacing w:line="440" w:lineRule="exact"/>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25D439B6">
      <w:pPr>
        <w:spacing w:line="440" w:lineRule="exact"/>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4C47176E">
      <w:pPr>
        <w:spacing w:line="440" w:lineRule="exact"/>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791BEFD">
      <w:pPr>
        <w:spacing w:line="440" w:lineRule="exact"/>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36467BCA">
      <w:pPr>
        <w:spacing w:line="440" w:lineRule="exact"/>
        <w:ind w:firstLine="420" w:firstLineChars="200"/>
        <w:rPr>
          <w:rFonts w:ascii="宋体" w:hAnsi="宋体"/>
          <w:szCs w:val="21"/>
        </w:rPr>
      </w:pPr>
      <w:r>
        <w:rPr>
          <w:rFonts w:hint="eastAsia" w:ascii="宋体" w:hAnsi="宋体"/>
          <w:szCs w:val="21"/>
        </w:rPr>
        <w:t>（三）项目负责人或者主要技术人员不是本单位人员的。</w:t>
      </w:r>
    </w:p>
    <w:p w14:paraId="2CEA8750">
      <w:pPr>
        <w:spacing w:line="440" w:lineRule="exact"/>
        <w:ind w:firstLine="420" w:firstLineChars="200"/>
        <w:rPr>
          <w:rFonts w:ascii="宋体" w:hAnsi="宋体"/>
          <w:szCs w:val="21"/>
        </w:rPr>
      </w:pPr>
      <w:r>
        <w:rPr>
          <w:rFonts w:hint="eastAsia" w:ascii="宋体" w:hAnsi="宋体"/>
          <w:szCs w:val="21"/>
        </w:rPr>
        <w:t>（四）投标保证金不是从投标供应商基本账户转出的。</w:t>
      </w:r>
    </w:p>
    <w:p w14:paraId="72C66728">
      <w:pPr>
        <w:spacing w:line="440" w:lineRule="exact"/>
        <w:ind w:firstLine="420" w:firstLineChars="200"/>
        <w:rPr>
          <w:rFonts w:ascii="宋体" w:hAnsi="宋体"/>
          <w:szCs w:val="21"/>
        </w:rPr>
      </w:pPr>
      <w:r>
        <w:rPr>
          <w:rFonts w:hint="eastAsia" w:ascii="宋体" w:hAnsi="宋体"/>
          <w:szCs w:val="21"/>
        </w:rPr>
        <w:t>（五）其他隐瞒真实情况、提供虚假资料的行为。</w:t>
      </w:r>
    </w:p>
    <w:p w14:paraId="0284D657">
      <w:pPr>
        <w:spacing w:line="440" w:lineRule="exact"/>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6CF76277">
      <w:pPr>
        <w:spacing w:line="440" w:lineRule="exact"/>
        <w:ind w:firstLine="420" w:firstLineChars="200"/>
        <w:rPr>
          <w:rFonts w:ascii="宋体" w:hAnsi="宋体"/>
          <w:szCs w:val="21"/>
        </w:rPr>
      </w:pPr>
      <w:r>
        <w:rPr>
          <w:rFonts w:hint="eastAsia" w:ascii="宋体" w:hAnsi="宋体"/>
          <w:szCs w:val="21"/>
        </w:rPr>
        <w:t>（一）投标供应商之间相互约定给予未中标的供应商利益补偿。</w:t>
      </w:r>
    </w:p>
    <w:p w14:paraId="44D3F90A">
      <w:pPr>
        <w:spacing w:line="440" w:lineRule="exact"/>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79A38F2C">
      <w:pPr>
        <w:spacing w:line="440" w:lineRule="exact"/>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27ED29C7">
      <w:pPr>
        <w:spacing w:line="440" w:lineRule="exact"/>
        <w:ind w:firstLine="420" w:firstLineChars="200"/>
        <w:rPr>
          <w:rFonts w:ascii="宋体" w:hAnsi="宋体"/>
          <w:szCs w:val="21"/>
        </w:rPr>
      </w:pPr>
      <w:r>
        <w:rPr>
          <w:rFonts w:hint="eastAsia" w:ascii="宋体" w:hAnsi="宋体"/>
          <w:szCs w:val="21"/>
        </w:rPr>
        <w:t>（四）不同投标供应商的投标文件或部分投标文件相互混装。</w:t>
      </w:r>
    </w:p>
    <w:p w14:paraId="11D48C5C">
      <w:pPr>
        <w:spacing w:line="440" w:lineRule="exact"/>
        <w:ind w:firstLine="420" w:firstLineChars="200"/>
        <w:rPr>
          <w:rFonts w:ascii="宋体" w:hAnsi="宋体"/>
          <w:szCs w:val="21"/>
        </w:rPr>
      </w:pPr>
      <w:r>
        <w:rPr>
          <w:rFonts w:hint="eastAsia" w:ascii="宋体" w:hAnsi="宋体"/>
          <w:szCs w:val="21"/>
        </w:rPr>
        <w:t>（五）不同投标供应商的投标文件内容存在非正常一致。</w:t>
      </w:r>
    </w:p>
    <w:p w14:paraId="08B9917B">
      <w:pPr>
        <w:spacing w:line="440" w:lineRule="exact"/>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182315EE">
      <w:pPr>
        <w:spacing w:line="440" w:lineRule="exact"/>
        <w:ind w:firstLine="420" w:firstLineChars="200"/>
        <w:rPr>
          <w:rFonts w:ascii="宋体" w:hAnsi="宋体"/>
          <w:szCs w:val="21"/>
        </w:rPr>
      </w:pPr>
      <w:r>
        <w:rPr>
          <w:rFonts w:hint="eastAsia" w:ascii="宋体" w:hAnsi="宋体"/>
          <w:szCs w:val="21"/>
        </w:rPr>
        <w:t>（七）不同投标人的投标报价呈规律性差异。</w:t>
      </w:r>
    </w:p>
    <w:p w14:paraId="6702F0B8">
      <w:pPr>
        <w:spacing w:line="440" w:lineRule="exact"/>
        <w:ind w:firstLine="420" w:firstLineChars="200"/>
        <w:rPr>
          <w:rFonts w:ascii="宋体" w:hAnsi="宋体"/>
          <w:szCs w:val="21"/>
        </w:rPr>
      </w:pPr>
      <w:r>
        <w:rPr>
          <w:rFonts w:hint="eastAsia" w:ascii="宋体" w:hAnsi="宋体"/>
          <w:szCs w:val="21"/>
        </w:rPr>
        <w:t>（八）不同投标人的投标保证金从同一单位或者个人的账户转出。</w:t>
      </w:r>
    </w:p>
    <w:p w14:paraId="4D30284E">
      <w:pPr>
        <w:spacing w:line="440" w:lineRule="exact"/>
        <w:ind w:firstLine="420" w:firstLineChars="200"/>
        <w:rPr>
          <w:rFonts w:ascii="宋体" w:hAnsi="宋体"/>
          <w:szCs w:val="21"/>
        </w:rPr>
      </w:pPr>
      <w:r>
        <w:rPr>
          <w:rFonts w:hint="eastAsia" w:ascii="宋体" w:hAnsi="宋体"/>
          <w:szCs w:val="21"/>
        </w:rPr>
        <w:t>（九）主管部门依照法律、法规认定的其他情形。</w:t>
      </w:r>
    </w:p>
    <w:p w14:paraId="0CA642EE">
      <w:pPr>
        <w:spacing w:line="440" w:lineRule="exact"/>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7B42EFF3">
      <w:pPr>
        <w:spacing w:line="440" w:lineRule="exact"/>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25F09DC6">
      <w:pPr>
        <w:spacing w:line="440" w:lineRule="exact"/>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625ED08E">
      <w:pPr>
        <w:spacing w:line="440" w:lineRule="exact"/>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4CAFE6A2">
      <w:pPr>
        <w:spacing w:line="440" w:lineRule="exact"/>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8EDBF6D">
      <w:pPr>
        <w:spacing w:line="440" w:lineRule="exact"/>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0FF1473">
      <w:pPr>
        <w:spacing w:line="440" w:lineRule="exact"/>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6EA8ED18">
      <w:pPr>
        <w:spacing w:line="440" w:lineRule="exact"/>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D2B1BA1">
      <w:pPr>
        <w:spacing w:line="440" w:lineRule="exact"/>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25A8C1F2">
      <w:pPr>
        <w:spacing w:line="440" w:lineRule="exact"/>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7539D05">
      <w:pPr>
        <w:spacing w:line="440" w:lineRule="exact"/>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67DA69C9">
      <w:pPr>
        <w:spacing w:line="440" w:lineRule="exact"/>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C37819E">
      <w:pPr>
        <w:spacing w:line="440" w:lineRule="exact"/>
        <w:rPr>
          <w:rFonts w:ascii="宋体" w:hAnsi="宋体"/>
          <w:szCs w:val="21"/>
          <w:u w:val="single"/>
        </w:rPr>
      </w:pPr>
    </w:p>
    <w:p w14:paraId="66C6030B">
      <w:pPr>
        <w:spacing w:line="440" w:lineRule="exact"/>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0D77CAC7">
      <w:pPr>
        <w:spacing w:line="440" w:lineRule="exact"/>
        <w:ind w:firstLine="420" w:firstLineChars="200"/>
        <w:rPr>
          <w:rFonts w:ascii="宋体" w:hAnsi="宋体"/>
          <w:szCs w:val="21"/>
        </w:rPr>
      </w:pPr>
      <w:r>
        <w:rPr>
          <w:rFonts w:hint="eastAsia" w:ascii="宋体" w:hAnsi="宋体"/>
          <w:szCs w:val="21"/>
        </w:rPr>
        <w:t>知悉人（公章）：</w:t>
      </w:r>
    </w:p>
    <w:p w14:paraId="3AD478AB">
      <w:pPr>
        <w:spacing w:line="440" w:lineRule="exact"/>
        <w:ind w:firstLine="420" w:firstLineChars="200"/>
        <w:rPr>
          <w:rFonts w:ascii="宋体" w:hAnsi="宋体"/>
          <w:szCs w:val="21"/>
        </w:rPr>
      </w:pPr>
      <w:r>
        <w:rPr>
          <w:rFonts w:hint="eastAsia" w:ascii="宋体" w:hAnsi="宋体"/>
          <w:szCs w:val="21"/>
        </w:rPr>
        <w:t>日期：</w:t>
      </w:r>
    </w:p>
    <w:p w14:paraId="768C5FE5">
      <w:pPr>
        <w:spacing w:line="440" w:lineRule="exact"/>
        <w:ind w:firstLine="420" w:firstLineChars="200"/>
        <w:rPr>
          <w:rFonts w:ascii="宋体" w:hAnsi="宋体"/>
          <w:szCs w:val="21"/>
        </w:rPr>
      </w:pPr>
    </w:p>
    <w:p w14:paraId="3F455320">
      <w:pPr>
        <w:spacing w:line="440" w:lineRule="exact"/>
        <w:rPr>
          <w:rFonts w:ascii="宋体" w:hAnsi="宋体"/>
          <w:szCs w:val="21"/>
        </w:rPr>
      </w:pPr>
      <w:r>
        <w:rPr>
          <w:rFonts w:hint="eastAsia"/>
          <w:szCs w:val="21"/>
          <w:u w:val="single"/>
        </w:rPr>
        <w:t>（备注：如联合体投标，知悉人处仅需加盖牵头人的公章）</w:t>
      </w:r>
    </w:p>
    <w:p w14:paraId="31A88C15">
      <w:pPr>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六、法定代表人（负责人）资格证明书</w:t>
      </w:r>
    </w:p>
    <w:p w14:paraId="1C85B1C4">
      <w:pPr>
        <w:rPr>
          <w:rFonts w:ascii="Times New Roman" w:hAnsi="Times New Roman"/>
          <w:sz w:val="24"/>
          <w:szCs w:val="24"/>
        </w:rPr>
      </w:pPr>
    </w:p>
    <w:p w14:paraId="6A01F100">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同志，现任我单位</w:t>
      </w:r>
      <w:r>
        <w:rPr>
          <w:rFonts w:hint="eastAsia" w:ascii="Times New Roman" w:hAnsi="Times New Roman"/>
          <w:szCs w:val="21"/>
          <w:u w:val="single"/>
        </w:rPr>
        <w:t xml:space="preserve">         </w:t>
      </w:r>
      <w:r>
        <w:rPr>
          <w:rFonts w:hint="eastAsia" w:ascii="Times New Roman" w:hAnsi="Times New Roman"/>
          <w:szCs w:val="21"/>
        </w:rPr>
        <w:t>职务，为法定代表人</w:t>
      </w:r>
      <w:r>
        <w:rPr>
          <w:rFonts w:hint="eastAsia" w:ascii="黑体" w:hAnsi="Times New Roman" w:eastAsia="黑体"/>
          <w:b/>
          <w:kern w:val="0"/>
          <w:sz w:val="24"/>
          <w:szCs w:val="24"/>
        </w:rPr>
        <w:t>（负责人）</w:t>
      </w:r>
      <w:r>
        <w:rPr>
          <w:rFonts w:hint="eastAsia" w:ascii="Times New Roman" w:hAnsi="Times New Roman"/>
          <w:szCs w:val="21"/>
        </w:rPr>
        <w:t>，特此证明。</w:t>
      </w:r>
    </w:p>
    <w:p w14:paraId="2ADD3884">
      <w:pPr>
        <w:spacing w:line="360" w:lineRule="auto"/>
        <w:rPr>
          <w:rFonts w:ascii="Times New Roman" w:hAnsi="Times New Roman"/>
          <w:szCs w:val="21"/>
        </w:rPr>
      </w:pPr>
      <w:r>
        <w:rPr>
          <w:rFonts w:hint="eastAsia" w:ascii="Times New Roman" w:hAnsi="Times New Roman"/>
          <w:szCs w:val="21"/>
        </w:rPr>
        <w:t>说明：1、法定代表人为企业事业单位、国家机关、社会团体的主要负责人。</w:t>
      </w:r>
    </w:p>
    <w:p w14:paraId="22ED0EAD">
      <w:pPr>
        <w:rPr>
          <w:rFonts w:ascii="Times New Roman" w:hAnsi="Times New Roman"/>
          <w:szCs w:val="21"/>
        </w:rPr>
      </w:pPr>
      <w:r>
        <w:rPr>
          <w:rFonts w:hint="eastAsia" w:ascii="Times New Roman" w:hAnsi="Times New Roman"/>
          <w:szCs w:val="21"/>
        </w:rPr>
        <w:t xml:space="preserve">      2、内容必须填写真实、清楚，涂改无效，不得转让、买卖。</w:t>
      </w:r>
    </w:p>
    <w:p w14:paraId="1C08888D">
      <w:pPr>
        <w:spacing w:line="360" w:lineRule="auto"/>
        <w:rPr>
          <w:rFonts w:ascii="Times New Roman" w:hAnsi="Times New Roman"/>
          <w:b/>
          <w:szCs w:val="21"/>
        </w:rPr>
      </w:pPr>
    </w:p>
    <w:p w14:paraId="4FD9E13D">
      <w:pPr>
        <w:spacing w:line="360" w:lineRule="auto"/>
        <w:rPr>
          <w:rFonts w:ascii="Times New Roman" w:hAnsi="Times New Roman"/>
          <w:b/>
          <w:sz w:val="24"/>
          <w:szCs w:val="24"/>
        </w:rPr>
      </w:pPr>
      <w:r>
        <w:rPr>
          <w:rFonts w:hint="eastAsia" w:ascii="Times New Roman" w:hAnsi="Times New Roman"/>
          <w:b/>
          <w:sz w:val="24"/>
          <w:szCs w:val="24"/>
        </w:rPr>
        <w:t>附：要求必须提供法定代表人（负责人）身份证扫描件（正反两面）。</w:t>
      </w:r>
    </w:p>
    <w:p w14:paraId="083DC435">
      <w:pPr>
        <w:spacing w:line="360" w:lineRule="auto"/>
        <w:rPr>
          <w:rFonts w:ascii="Times New Roman" w:hAnsi="Times New Roman"/>
          <w:b/>
          <w:sz w:val="24"/>
          <w:szCs w:val="24"/>
        </w:rPr>
      </w:pPr>
    </w:p>
    <w:p w14:paraId="55A0FBBC">
      <w:pPr>
        <w:rPr>
          <w:rFonts w:ascii="宋体" w:hAnsi="宋体"/>
          <w:szCs w:val="21"/>
        </w:rPr>
      </w:pPr>
      <w:r>
        <w:rPr>
          <w:rFonts w:hint="eastAsia"/>
          <w:szCs w:val="21"/>
          <w:u w:val="single"/>
        </w:rPr>
        <w:t>（备注：如联合体投标，单位一栏仅需填写牵头人的名称）</w:t>
      </w:r>
    </w:p>
    <w:p w14:paraId="2652A0DA">
      <w:pPr>
        <w:spacing w:line="360" w:lineRule="auto"/>
        <w:rPr>
          <w:rFonts w:ascii="Times New Roman" w:hAnsi="Times New Roman"/>
          <w:b/>
          <w:sz w:val="24"/>
          <w:szCs w:val="24"/>
        </w:rPr>
      </w:pPr>
    </w:p>
    <w:p w14:paraId="5C4B519F">
      <w:pPr>
        <w:spacing w:before="260" w:after="260"/>
        <w:jc w:val="center"/>
        <w:outlineLvl w:val="2"/>
        <w:rPr>
          <w:rFonts w:ascii="黑体" w:hAnsi="宋体" w:eastAsia="黑体"/>
          <w:bCs/>
          <w:sz w:val="24"/>
          <w:szCs w:val="24"/>
        </w:rPr>
      </w:pPr>
      <w:r>
        <w:rPr>
          <w:rFonts w:ascii="宋体" w:hAnsi="宋体"/>
          <w:b/>
          <w:bCs/>
          <w:sz w:val="28"/>
          <w:szCs w:val="32"/>
        </w:rPr>
        <w:tab/>
      </w:r>
      <w:r>
        <w:rPr>
          <w:rFonts w:hint="eastAsia" w:ascii="黑体" w:hAnsi="宋体" w:eastAsia="黑体"/>
          <w:bCs/>
          <w:kern w:val="0"/>
          <w:sz w:val="24"/>
          <w:szCs w:val="24"/>
        </w:rPr>
        <w:t>七、投标文件签署授权委托书</w:t>
      </w:r>
    </w:p>
    <w:p w14:paraId="374C0383">
      <w:pPr>
        <w:spacing w:line="360" w:lineRule="auto"/>
        <w:ind w:firstLine="420" w:firstLineChars="200"/>
        <w:rPr>
          <w:rFonts w:ascii="Times New Roman" w:hAnsi="Times New Roman"/>
          <w:szCs w:val="21"/>
        </w:rPr>
      </w:pPr>
      <w:r>
        <w:rPr>
          <w:rFonts w:hint="eastAsia" w:ascii="Times New Roman" w:hAnsi="Times New Roman"/>
          <w:szCs w:val="21"/>
        </w:rPr>
        <w:t>本授权委托书声明：我</w:t>
      </w:r>
      <w:r>
        <w:rPr>
          <w:rFonts w:hint="eastAsia" w:ascii="Times New Roman" w:hAnsi="Times New Roman"/>
          <w:szCs w:val="21"/>
          <w:u w:val="single"/>
        </w:rPr>
        <w:t xml:space="preserve">           </w:t>
      </w:r>
      <w:r>
        <w:rPr>
          <w:rFonts w:hint="eastAsia" w:ascii="Times New Roman" w:hAnsi="Times New Roman"/>
          <w:szCs w:val="21"/>
        </w:rPr>
        <w:t>（姓名）系</w:t>
      </w:r>
      <w:r>
        <w:rPr>
          <w:rFonts w:hint="eastAsia" w:ascii="Times New Roman" w:hAnsi="Times New Roman"/>
          <w:szCs w:val="21"/>
          <w:u w:val="single"/>
        </w:rPr>
        <w:t xml:space="preserve">             </w:t>
      </w:r>
      <w:r>
        <w:rPr>
          <w:rFonts w:hint="eastAsia" w:ascii="Times New Roman" w:hAnsi="Times New Roman"/>
          <w:szCs w:val="21"/>
        </w:rPr>
        <w:t>（投标供应商名称）的法定代表人</w:t>
      </w:r>
      <w:r>
        <w:rPr>
          <w:rFonts w:hint="eastAsia" w:ascii="黑体" w:hAnsi="Times New Roman" w:eastAsia="黑体"/>
          <w:b/>
          <w:kern w:val="0"/>
          <w:sz w:val="24"/>
          <w:szCs w:val="24"/>
        </w:rPr>
        <w:t>（负责人）</w:t>
      </w:r>
      <w:r>
        <w:rPr>
          <w:rFonts w:hint="eastAsia" w:ascii="Times New Roman" w:hAnsi="Times New Roman"/>
          <w:szCs w:val="21"/>
        </w:rPr>
        <w:t>，现授权委托</w:t>
      </w:r>
      <w:r>
        <w:rPr>
          <w:rFonts w:hint="eastAsia" w:ascii="Times New Roman" w:hAnsi="Times New Roman"/>
          <w:szCs w:val="21"/>
          <w:u w:val="single"/>
        </w:rPr>
        <w:t xml:space="preserve">            </w:t>
      </w:r>
      <w:r>
        <w:rPr>
          <w:rFonts w:hint="eastAsia" w:ascii="Times New Roman" w:hAnsi="Times New Roman"/>
          <w:szCs w:val="21"/>
        </w:rPr>
        <w:t>（姓名）为我公司签署本项目已递交的投标文件的法定代表人的授权委托代理人，代理人全权代表我所签署的本项目已递交的投标文件内容我均承认。</w:t>
      </w:r>
    </w:p>
    <w:p w14:paraId="3A9118D4">
      <w:pPr>
        <w:spacing w:line="360" w:lineRule="auto"/>
        <w:ind w:firstLine="420"/>
        <w:rPr>
          <w:rFonts w:ascii="Times New Roman" w:hAnsi="Times New Roman"/>
          <w:szCs w:val="21"/>
        </w:rPr>
      </w:pPr>
      <w:r>
        <w:rPr>
          <w:rFonts w:hint="eastAsia" w:ascii="Times New Roman" w:hAnsi="Times New Roman"/>
          <w:szCs w:val="21"/>
        </w:rPr>
        <w:t>代理人无转委托权，特此委托。</w:t>
      </w:r>
    </w:p>
    <w:p w14:paraId="5B2E815C">
      <w:pPr>
        <w:spacing w:line="360" w:lineRule="auto"/>
        <w:ind w:firstLine="420"/>
        <w:rPr>
          <w:rFonts w:ascii="Times New Roman" w:hAnsi="Times New Roman"/>
          <w:szCs w:val="21"/>
        </w:rPr>
      </w:pPr>
    </w:p>
    <w:p w14:paraId="23ECD3C4">
      <w:pPr>
        <w:spacing w:line="360" w:lineRule="auto"/>
        <w:ind w:left="540" w:leftChars="257"/>
        <w:rPr>
          <w:rFonts w:ascii="Times New Roman" w:hAnsi="Times New Roman"/>
          <w:szCs w:val="21"/>
          <w:u w:val="single"/>
        </w:rPr>
      </w:pPr>
      <w:r>
        <w:rPr>
          <w:rFonts w:hint="eastAsia" w:ascii="Times New Roman" w:hAnsi="Times New Roman"/>
          <w:szCs w:val="21"/>
        </w:rPr>
        <w:t>代理人：</w:t>
      </w:r>
      <w:r>
        <w:rPr>
          <w:rFonts w:hint="eastAsia" w:ascii="Times New Roman" w:hAnsi="Times New Roman"/>
          <w:szCs w:val="21"/>
          <w:u w:val="single"/>
        </w:rPr>
        <w:t xml:space="preserve">             </w:t>
      </w:r>
    </w:p>
    <w:p w14:paraId="5BD8D55C">
      <w:pPr>
        <w:spacing w:line="360" w:lineRule="auto"/>
        <w:ind w:left="540" w:leftChars="257"/>
        <w:rPr>
          <w:rFonts w:ascii="Times New Roman" w:hAnsi="Times New Roman"/>
          <w:szCs w:val="21"/>
        </w:rPr>
      </w:pP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手机：</w:t>
      </w:r>
      <w:r>
        <w:rPr>
          <w:rFonts w:hint="eastAsia" w:ascii="Times New Roman" w:hAnsi="Times New Roman"/>
          <w:szCs w:val="21"/>
          <w:u w:val="single"/>
        </w:rPr>
        <w:t xml:space="preserve">                   </w:t>
      </w:r>
    </w:p>
    <w:p w14:paraId="6227D286">
      <w:pPr>
        <w:spacing w:line="360" w:lineRule="auto"/>
        <w:ind w:left="540" w:leftChars="257"/>
        <w:rPr>
          <w:rFonts w:ascii="Times New Roman" w:hAnsi="Times New Roman"/>
          <w:szCs w:val="21"/>
          <w:u w:val="single"/>
        </w:rPr>
      </w:pPr>
      <w:r>
        <w:rPr>
          <w:rFonts w:hint="eastAsia" w:ascii="Times New Roman" w:hAnsi="Times New Roman"/>
          <w:szCs w:val="21"/>
        </w:rPr>
        <w:t>身份证号码：</w:t>
      </w:r>
      <w:r>
        <w:rPr>
          <w:rFonts w:hint="eastAsia" w:ascii="Times New Roman" w:hAnsi="Times New Roman"/>
          <w:szCs w:val="21"/>
          <w:u w:val="single"/>
        </w:rPr>
        <w:t xml:space="preserve">                        </w:t>
      </w:r>
      <w:r>
        <w:rPr>
          <w:rFonts w:hint="eastAsia" w:ascii="Times New Roman" w:hAnsi="Times New Roman"/>
          <w:szCs w:val="21"/>
        </w:rPr>
        <w:t>职务：</w:t>
      </w:r>
      <w:r>
        <w:rPr>
          <w:rFonts w:hint="eastAsia" w:ascii="Times New Roman" w:hAnsi="Times New Roman"/>
          <w:szCs w:val="21"/>
          <w:u w:val="single"/>
        </w:rPr>
        <w:t xml:space="preserve">       </w:t>
      </w:r>
    </w:p>
    <w:p w14:paraId="1ED41086">
      <w:pPr>
        <w:spacing w:line="360" w:lineRule="auto"/>
        <w:ind w:left="540" w:leftChars="257"/>
        <w:rPr>
          <w:rFonts w:ascii="Times New Roman" w:hAnsi="Times New Roman"/>
          <w:szCs w:val="21"/>
        </w:rPr>
      </w:pPr>
      <w:r>
        <w:rPr>
          <w:rFonts w:hint="eastAsia" w:ascii="Times New Roman" w:hAnsi="Times New Roman"/>
          <w:szCs w:val="21"/>
        </w:rPr>
        <w:t>授权委托日期：</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hint="eastAsia" w:ascii="Times New Roman" w:hAnsi="Times New Roman"/>
          <w:szCs w:val="21"/>
        </w:rPr>
        <w:t>日</w:t>
      </w:r>
    </w:p>
    <w:p w14:paraId="6A2E926E">
      <w:pPr>
        <w:spacing w:line="360" w:lineRule="auto"/>
        <w:ind w:left="540" w:leftChars="257"/>
        <w:rPr>
          <w:rFonts w:ascii="Times New Roman" w:hAnsi="Times New Roman"/>
          <w:szCs w:val="21"/>
          <w:u w:val="single"/>
        </w:rPr>
      </w:pPr>
    </w:p>
    <w:p w14:paraId="46DE03FC">
      <w:pPr>
        <w:spacing w:line="360" w:lineRule="auto"/>
        <w:rPr>
          <w:rFonts w:ascii="Times New Roman" w:hAnsi="Times New Roman"/>
          <w:b/>
          <w:sz w:val="24"/>
          <w:szCs w:val="24"/>
        </w:rPr>
      </w:pPr>
      <w:r>
        <w:rPr>
          <w:rFonts w:hint="eastAsia" w:ascii="Times New Roman" w:hAnsi="Times New Roman"/>
          <w:b/>
          <w:sz w:val="24"/>
          <w:szCs w:val="24"/>
        </w:rPr>
        <w:t>附：要求必须提供代理人身份证扫描件（正反两面）。</w:t>
      </w:r>
    </w:p>
    <w:p w14:paraId="41E35714">
      <w:pPr>
        <w:rPr>
          <w:szCs w:val="21"/>
          <w:u w:val="single"/>
        </w:rPr>
      </w:pPr>
    </w:p>
    <w:p w14:paraId="0A323AF5">
      <w:pPr>
        <w:rPr>
          <w:rFonts w:ascii="宋体" w:hAnsi="宋体"/>
          <w:szCs w:val="21"/>
        </w:rPr>
      </w:pPr>
      <w:r>
        <w:rPr>
          <w:rFonts w:hint="eastAsia"/>
          <w:szCs w:val="21"/>
          <w:u w:val="single"/>
        </w:rPr>
        <w:t>（备注：如联合体投标，投标供应商名称一栏仅需填写牵头人的名称）</w:t>
      </w:r>
    </w:p>
    <w:p w14:paraId="417013EE">
      <w:pPr>
        <w:spacing w:line="360" w:lineRule="auto"/>
        <w:rPr>
          <w:rFonts w:ascii="黑体" w:eastAsia="黑体"/>
          <w:b/>
          <w:sz w:val="24"/>
        </w:rPr>
      </w:pPr>
    </w:p>
    <w:p w14:paraId="32EFE668">
      <w:pPr>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八、实质性条款响应情况表</w:t>
      </w:r>
    </w:p>
    <w:tbl>
      <w:tblPr>
        <w:tblStyle w:val="4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030"/>
        <w:gridCol w:w="1445"/>
      </w:tblGrid>
      <w:tr w14:paraId="3C6B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6A4A724">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030" w:type="dxa"/>
          </w:tcPr>
          <w:p w14:paraId="5E05A909">
            <w:pPr>
              <w:adjustRightInd w:val="0"/>
              <w:snapToGrid w:val="0"/>
              <w:spacing w:line="360" w:lineRule="auto"/>
              <w:jc w:val="center"/>
              <w:rPr>
                <w:rFonts w:ascii="宋体" w:hAnsi="宋体"/>
                <w:kern w:val="0"/>
                <w:szCs w:val="21"/>
              </w:rPr>
            </w:pPr>
            <w:r>
              <w:rPr>
                <w:rFonts w:hint="eastAsia" w:ascii="宋体" w:hAnsi="宋体"/>
                <w:kern w:val="0"/>
                <w:szCs w:val="21"/>
              </w:rPr>
              <w:t>采购人要求内容</w:t>
            </w:r>
          </w:p>
        </w:tc>
        <w:tc>
          <w:tcPr>
            <w:tcW w:w="1445" w:type="dxa"/>
          </w:tcPr>
          <w:p w14:paraId="5E66C95E">
            <w:pPr>
              <w:adjustRightInd w:val="0"/>
              <w:snapToGrid w:val="0"/>
              <w:spacing w:line="360" w:lineRule="auto"/>
              <w:jc w:val="center"/>
              <w:rPr>
                <w:rFonts w:ascii="宋体" w:hAnsi="宋体"/>
                <w:kern w:val="0"/>
                <w:szCs w:val="21"/>
              </w:rPr>
            </w:pPr>
            <w:r>
              <w:rPr>
                <w:rFonts w:hint="eastAsia" w:ascii="宋体" w:hAnsi="宋体"/>
                <w:kern w:val="0"/>
                <w:szCs w:val="21"/>
              </w:rPr>
              <w:t>投标人响应情况</w:t>
            </w:r>
          </w:p>
        </w:tc>
      </w:tr>
      <w:tr w14:paraId="66C9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DB85FB3">
            <w:pPr>
              <w:adjustRightInd w:val="0"/>
              <w:snapToGrid w:val="0"/>
              <w:spacing w:line="360" w:lineRule="auto"/>
              <w:rPr>
                <w:rFonts w:ascii="宋体" w:hAnsi="宋体"/>
                <w:kern w:val="0"/>
                <w:szCs w:val="21"/>
              </w:rPr>
            </w:pPr>
            <w:r>
              <w:rPr>
                <w:rFonts w:hint="eastAsia" w:ascii="宋体" w:hAnsi="宋体"/>
                <w:kern w:val="0"/>
                <w:szCs w:val="21"/>
              </w:rPr>
              <w:t>1</w:t>
            </w:r>
          </w:p>
        </w:tc>
        <w:tc>
          <w:tcPr>
            <w:tcW w:w="7030" w:type="dxa"/>
            <w:vAlign w:val="center"/>
          </w:tcPr>
          <w:p w14:paraId="31CA0985">
            <w:pPr>
              <w:adjustRightInd w:val="0"/>
              <w:snapToGrid w:val="0"/>
              <w:spacing w:line="360" w:lineRule="auto"/>
              <w:jc w:val="left"/>
              <w:rPr>
                <w:rFonts w:ascii="Times New Roman" w:hAnsi="宋体"/>
                <w:kern w:val="0"/>
                <w:szCs w:val="21"/>
              </w:rPr>
            </w:pPr>
            <w:r>
              <w:rPr>
                <w:rFonts w:hint="eastAsia" w:ascii="宋体" w:hAnsi="宋体"/>
                <w:kern w:val="0"/>
                <w:szCs w:val="21"/>
              </w:rPr>
              <w:t>供应商配送食品必须安全可靠，且从未出现过配送食品安全事故，并出具相关承诺书</w:t>
            </w:r>
            <w:r>
              <w:rPr>
                <w:rFonts w:hint="eastAsia" w:ascii="宋体" w:hAnsi="宋体"/>
                <w:b/>
                <w:bCs/>
                <w:color w:val="FF0000"/>
                <w:kern w:val="0"/>
                <w:szCs w:val="21"/>
              </w:rPr>
              <w:t>【提供承诺书（格式自拟）作为响应依据，未提供的视为负偏离，按投标无效处理】</w:t>
            </w:r>
            <w:r>
              <w:rPr>
                <w:rFonts w:hint="eastAsia" w:ascii="宋体" w:hAnsi="宋体"/>
                <w:kern w:val="0"/>
                <w:szCs w:val="21"/>
              </w:rPr>
              <w:t>。</w:t>
            </w:r>
          </w:p>
        </w:tc>
        <w:tc>
          <w:tcPr>
            <w:tcW w:w="1445" w:type="dxa"/>
          </w:tcPr>
          <w:p w14:paraId="37B06EB4">
            <w:pPr>
              <w:adjustRightInd w:val="0"/>
              <w:snapToGrid w:val="0"/>
              <w:spacing w:line="360" w:lineRule="auto"/>
              <w:rPr>
                <w:rFonts w:ascii="宋体" w:hAnsi="宋体"/>
                <w:kern w:val="0"/>
                <w:szCs w:val="21"/>
              </w:rPr>
            </w:pPr>
          </w:p>
        </w:tc>
      </w:tr>
      <w:tr w14:paraId="7B4B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A51F640">
            <w:pPr>
              <w:adjustRightInd w:val="0"/>
              <w:snapToGrid w:val="0"/>
              <w:spacing w:line="360" w:lineRule="auto"/>
              <w:rPr>
                <w:rFonts w:ascii="宋体" w:hAnsi="宋体"/>
                <w:kern w:val="0"/>
                <w:szCs w:val="21"/>
              </w:rPr>
            </w:pPr>
            <w:r>
              <w:rPr>
                <w:rFonts w:hint="eastAsia" w:ascii="宋体" w:hAnsi="宋体"/>
                <w:kern w:val="0"/>
                <w:szCs w:val="21"/>
              </w:rPr>
              <w:t>2</w:t>
            </w:r>
          </w:p>
        </w:tc>
        <w:tc>
          <w:tcPr>
            <w:tcW w:w="7030" w:type="dxa"/>
            <w:vAlign w:val="center"/>
          </w:tcPr>
          <w:p w14:paraId="02633940">
            <w:pPr>
              <w:adjustRightInd w:val="0"/>
              <w:snapToGrid w:val="0"/>
              <w:spacing w:line="360" w:lineRule="auto"/>
              <w:jc w:val="left"/>
              <w:rPr>
                <w:rFonts w:ascii="Times New Roman" w:hAnsi="宋体"/>
                <w:kern w:val="0"/>
                <w:szCs w:val="21"/>
              </w:rPr>
            </w:pPr>
            <w:r>
              <w:rPr>
                <w:rFonts w:hint="eastAsia" w:ascii="宋体" w:hAnsi="宋体"/>
                <w:kern w:val="0"/>
                <w:szCs w:val="21"/>
              </w:rPr>
              <w:t>供应商承诺中标后明确各类食品产品的质量安全责任人，且该人员须在供应商单位购买社保</w:t>
            </w:r>
            <w:r>
              <w:rPr>
                <w:rFonts w:hint="eastAsia" w:ascii="宋体" w:hAnsi="宋体"/>
                <w:b/>
                <w:bCs/>
                <w:color w:val="FF0000"/>
                <w:kern w:val="0"/>
                <w:szCs w:val="21"/>
              </w:rPr>
              <w:t>【提供承诺书（格式自拟）作为响应依据，未提供的视为负偏离，按投标无效处理】</w:t>
            </w:r>
            <w:r>
              <w:rPr>
                <w:rFonts w:hint="eastAsia" w:ascii="宋体" w:hAnsi="宋体"/>
                <w:kern w:val="0"/>
                <w:szCs w:val="21"/>
              </w:rPr>
              <w:t>。</w:t>
            </w:r>
          </w:p>
        </w:tc>
        <w:tc>
          <w:tcPr>
            <w:tcW w:w="1445" w:type="dxa"/>
          </w:tcPr>
          <w:p w14:paraId="0D6C3C92">
            <w:pPr>
              <w:adjustRightInd w:val="0"/>
              <w:snapToGrid w:val="0"/>
              <w:spacing w:line="360" w:lineRule="auto"/>
              <w:rPr>
                <w:rFonts w:ascii="宋体" w:hAnsi="宋体"/>
                <w:kern w:val="0"/>
                <w:szCs w:val="21"/>
              </w:rPr>
            </w:pPr>
          </w:p>
        </w:tc>
      </w:tr>
      <w:tr w14:paraId="584D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EDB2ACF">
            <w:pPr>
              <w:adjustRightInd w:val="0"/>
              <w:snapToGrid w:val="0"/>
              <w:spacing w:line="360" w:lineRule="auto"/>
              <w:rPr>
                <w:rFonts w:ascii="宋体" w:hAnsi="宋体"/>
                <w:kern w:val="0"/>
                <w:szCs w:val="21"/>
              </w:rPr>
            </w:pPr>
            <w:r>
              <w:rPr>
                <w:rFonts w:hint="eastAsia" w:ascii="宋体" w:hAnsi="宋体"/>
                <w:kern w:val="0"/>
                <w:szCs w:val="21"/>
              </w:rPr>
              <w:t>3</w:t>
            </w:r>
          </w:p>
        </w:tc>
        <w:tc>
          <w:tcPr>
            <w:tcW w:w="7030" w:type="dxa"/>
            <w:vAlign w:val="center"/>
          </w:tcPr>
          <w:p w14:paraId="302AB2E3">
            <w:pPr>
              <w:adjustRightInd w:val="0"/>
              <w:snapToGrid w:val="0"/>
              <w:spacing w:line="360" w:lineRule="auto"/>
              <w:jc w:val="left"/>
              <w:rPr>
                <w:rFonts w:ascii="宋体" w:hAnsi="宋体"/>
                <w:kern w:val="0"/>
                <w:szCs w:val="21"/>
              </w:rPr>
            </w:pPr>
            <w:r>
              <w:rPr>
                <w:rFonts w:hint="eastAsia" w:ascii="宋体" w:hAnsi="宋体"/>
                <w:kern w:val="0"/>
                <w:szCs w:val="21"/>
              </w:rPr>
              <w:t>本项目不涉及具体投标金额（无须供应商在投标文件中填报具体投标金额），供应商只需在投标文件项目报价表中填报唯一的折扣率。供应商应根据自身成本自行填报“折扣率”，应包括服务成本、法定税费和企业的利润，但不得以低于其成本的报价竞标。</w:t>
            </w:r>
          </w:p>
        </w:tc>
        <w:tc>
          <w:tcPr>
            <w:tcW w:w="1445" w:type="dxa"/>
          </w:tcPr>
          <w:p w14:paraId="0FD8E33B">
            <w:pPr>
              <w:adjustRightInd w:val="0"/>
              <w:snapToGrid w:val="0"/>
              <w:spacing w:line="360" w:lineRule="auto"/>
              <w:rPr>
                <w:rFonts w:ascii="宋体" w:hAnsi="宋体"/>
                <w:kern w:val="0"/>
                <w:szCs w:val="21"/>
              </w:rPr>
            </w:pPr>
          </w:p>
        </w:tc>
      </w:tr>
      <w:tr w14:paraId="6EB2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E9D1916">
            <w:pPr>
              <w:adjustRightInd w:val="0"/>
              <w:snapToGrid w:val="0"/>
              <w:spacing w:line="360" w:lineRule="auto"/>
              <w:rPr>
                <w:rFonts w:ascii="宋体" w:hAnsi="宋体"/>
                <w:kern w:val="0"/>
                <w:szCs w:val="21"/>
              </w:rPr>
            </w:pPr>
            <w:r>
              <w:rPr>
                <w:rFonts w:hint="eastAsia" w:ascii="宋体" w:hAnsi="宋体"/>
                <w:kern w:val="0"/>
                <w:szCs w:val="21"/>
              </w:rPr>
              <w:t>4</w:t>
            </w:r>
          </w:p>
        </w:tc>
        <w:tc>
          <w:tcPr>
            <w:tcW w:w="7030" w:type="dxa"/>
            <w:vAlign w:val="center"/>
          </w:tcPr>
          <w:p w14:paraId="06EB54BB">
            <w:pPr>
              <w:adjustRightInd w:val="0"/>
              <w:snapToGrid w:val="0"/>
              <w:spacing w:line="360" w:lineRule="auto"/>
              <w:jc w:val="left"/>
              <w:rPr>
                <w:rFonts w:ascii="宋体" w:hAnsi="宋体"/>
                <w:kern w:val="0"/>
                <w:szCs w:val="21"/>
              </w:rPr>
            </w:pPr>
            <w:r>
              <w:rPr>
                <w:rFonts w:hint="eastAsia" w:ascii="宋体" w:hAnsi="宋体"/>
                <w:kern w:val="0"/>
                <w:szCs w:val="21"/>
              </w:rPr>
              <w:t>“折扣率”填写要求</w:t>
            </w:r>
          </w:p>
          <w:p w14:paraId="6CB384FF">
            <w:pPr>
              <w:adjustRightInd w:val="0"/>
              <w:snapToGrid w:val="0"/>
              <w:spacing w:line="360" w:lineRule="auto"/>
              <w:jc w:val="left"/>
              <w:rPr>
                <w:rFonts w:ascii="宋体" w:hAnsi="宋体"/>
                <w:kern w:val="0"/>
                <w:szCs w:val="21"/>
              </w:rPr>
            </w:pPr>
            <w:r>
              <w:rPr>
                <w:rFonts w:hint="eastAsia" w:ascii="宋体" w:hAnsi="宋体"/>
                <w:kern w:val="0"/>
                <w:szCs w:val="21"/>
              </w:rPr>
              <w:t>（1）填写要求：0＜折扣率≤1，未按此要求填写将作废标处理。</w:t>
            </w:r>
          </w:p>
          <w:p w14:paraId="4BEA1817">
            <w:pPr>
              <w:adjustRightInd w:val="0"/>
              <w:snapToGrid w:val="0"/>
              <w:spacing w:line="360" w:lineRule="auto"/>
              <w:jc w:val="left"/>
              <w:rPr>
                <w:rFonts w:ascii="宋体" w:hAnsi="宋体"/>
                <w:kern w:val="0"/>
                <w:szCs w:val="21"/>
              </w:rPr>
            </w:pPr>
            <w:r>
              <w:rPr>
                <w:rFonts w:hint="eastAsia" w:ascii="宋体" w:hAnsi="宋体"/>
                <w:kern w:val="0"/>
                <w:szCs w:val="21"/>
              </w:rPr>
              <w:t>（2）填写的“折扣率”应为小数，（如：0.90、0.80、0.78，最多保留小数点后两位）；</w:t>
            </w:r>
          </w:p>
          <w:p w14:paraId="23D250C9">
            <w:pPr>
              <w:adjustRightInd w:val="0"/>
              <w:snapToGrid w:val="0"/>
              <w:spacing w:line="360" w:lineRule="auto"/>
              <w:jc w:val="left"/>
              <w:rPr>
                <w:rFonts w:ascii="宋体" w:hAnsi="宋体"/>
                <w:kern w:val="0"/>
                <w:szCs w:val="21"/>
              </w:rPr>
            </w:pPr>
            <w:r>
              <w:rPr>
                <w:rFonts w:hint="eastAsia" w:ascii="宋体" w:hAnsi="宋体"/>
                <w:kern w:val="0"/>
                <w:szCs w:val="21"/>
              </w:rPr>
              <w:t>（3）供应商参与投标只允许填报一个“折扣率”，不允许填报2个（或以上）的“折扣率”；填报了2个或以上“折扣率”的，其投标将直接作投标无效处理；</w:t>
            </w:r>
          </w:p>
          <w:p w14:paraId="7F0321A2">
            <w:pPr>
              <w:adjustRightInd w:val="0"/>
              <w:snapToGrid w:val="0"/>
              <w:spacing w:line="360" w:lineRule="auto"/>
              <w:jc w:val="left"/>
              <w:rPr>
                <w:rFonts w:ascii="宋体" w:hAnsi="宋体"/>
                <w:kern w:val="0"/>
                <w:szCs w:val="21"/>
              </w:rPr>
            </w:pPr>
            <w:r>
              <w:rPr>
                <w:rFonts w:hint="eastAsia" w:ascii="宋体" w:hAnsi="宋体"/>
                <w:kern w:val="0"/>
                <w:szCs w:val="21"/>
              </w:rPr>
              <w:t>（4）“折扣率”缺填、漏填将直接作投标无效处理。</w:t>
            </w:r>
          </w:p>
        </w:tc>
        <w:tc>
          <w:tcPr>
            <w:tcW w:w="1445" w:type="dxa"/>
          </w:tcPr>
          <w:p w14:paraId="225F0B50">
            <w:pPr>
              <w:adjustRightInd w:val="0"/>
              <w:snapToGrid w:val="0"/>
              <w:spacing w:line="360" w:lineRule="auto"/>
              <w:rPr>
                <w:rFonts w:ascii="宋体" w:hAnsi="宋体"/>
                <w:kern w:val="0"/>
                <w:szCs w:val="21"/>
              </w:rPr>
            </w:pPr>
          </w:p>
        </w:tc>
      </w:tr>
      <w:tr w14:paraId="1E49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0C3E009">
            <w:pPr>
              <w:adjustRightInd w:val="0"/>
              <w:snapToGrid w:val="0"/>
              <w:spacing w:line="360" w:lineRule="auto"/>
              <w:rPr>
                <w:rFonts w:ascii="宋体" w:hAnsi="宋体"/>
                <w:kern w:val="0"/>
                <w:szCs w:val="21"/>
              </w:rPr>
            </w:pPr>
            <w:r>
              <w:rPr>
                <w:rFonts w:hint="eastAsia" w:ascii="宋体" w:hAnsi="宋体"/>
                <w:kern w:val="0"/>
                <w:szCs w:val="21"/>
              </w:rPr>
              <w:t>5</w:t>
            </w:r>
          </w:p>
        </w:tc>
        <w:tc>
          <w:tcPr>
            <w:tcW w:w="7030" w:type="dxa"/>
            <w:vAlign w:val="center"/>
          </w:tcPr>
          <w:p w14:paraId="15D916AF">
            <w:pPr>
              <w:adjustRightInd w:val="0"/>
              <w:snapToGrid w:val="0"/>
              <w:spacing w:line="360" w:lineRule="auto"/>
              <w:jc w:val="left"/>
              <w:rPr>
                <w:rFonts w:ascii="宋体" w:hAnsi="宋体"/>
                <w:kern w:val="0"/>
                <w:szCs w:val="21"/>
              </w:rPr>
            </w:pPr>
            <w:r>
              <w:rPr>
                <w:rFonts w:hint="eastAsia" w:ascii="宋体" w:hAnsi="宋体"/>
                <w:kern w:val="0"/>
                <w:szCs w:val="21"/>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r>
              <w:rPr>
                <w:rFonts w:hint="eastAsia" w:ascii="宋体" w:hAnsi="宋体"/>
                <w:kern w:val="0"/>
                <w:szCs w:val="21"/>
                <w:lang w:val="zh-CN"/>
              </w:rPr>
              <w:t>。</w:t>
            </w:r>
          </w:p>
        </w:tc>
        <w:tc>
          <w:tcPr>
            <w:tcW w:w="1445" w:type="dxa"/>
          </w:tcPr>
          <w:p w14:paraId="097C6BA7">
            <w:pPr>
              <w:adjustRightInd w:val="0"/>
              <w:snapToGrid w:val="0"/>
              <w:spacing w:line="360" w:lineRule="auto"/>
              <w:rPr>
                <w:rFonts w:ascii="宋体" w:hAnsi="宋体"/>
                <w:kern w:val="0"/>
                <w:szCs w:val="21"/>
              </w:rPr>
            </w:pPr>
          </w:p>
        </w:tc>
      </w:tr>
    </w:tbl>
    <w:p w14:paraId="30DF4E94">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bCs/>
          <w:kern w:val="0"/>
          <w:szCs w:val="21"/>
          <w:highlight w:val="yellow"/>
        </w:rPr>
        <w:t>“第一册  专用条款/第二章  招标项目需求”</w:t>
      </w:r>
      <w:r>
        <w:rPr>
          <w:rFonts w:hint="eastAsia" w:asciiTheme="minorEastAsia" w:hAnsiTheme="minorEastAsia" w:eastAsiaTheme="minorEastAsia"/>
          <w:bCs/>
          <w:kern w:val="0"/>
          <w:szCs w:val="21"/>
        </w:rPr>
        <w:t>中的不可负偏离的实质性条款，即“实质性条款”。</w:t>
      </w:r>
    </w:p>
    <w:p w14:paraId="5922BC04">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14:paraId="07D97085">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p>
    <w:p w14:paraId="5A2A0C28">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kern w:val="0"/>
          <w:szCs w:val="21"/>
        </w:rPr>
        <w:t>采购人要求内容</w:t>
      </w:r>
      <w:r>
        <w:rPr>
          <w:rFonts w:hint="eastAsia" w:asciiTheme="minorEastAsia" w:hAnsiTheme="minorEastAsia" w:eastAsiaTheme="minorEastAsia"/>
          <w:bCs/>
          <w:kern w:val="0"/>
          <w:szCs w:val="21"/>
        </w:rPr>
        <w:t>”中涉及提供证明材料的，应附在本表后，未提供证明材料或证明材料与响应情况不相符的，按负偏离处理。</w:t>
      </w:r>
    </w:p>
    <w:p w14:paraId="1291A281">
      <w:pPr>
        <w:spacing w:line="360" w:lineRule="auto"/>
        <w:rPr>
          <w:rFonts w:ascii="黑体" w:eastAsia="黑体"/>
          <w:b/>
          <w:sz w:val="24"/>
        </w:rPr>
      </w:pPr>
    </w:p>
    <w:p w14:paraId="31CF6B66">
      <w:pPr>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九、详细分项报价清单</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9"/>
        <w:gridCol w:w="2835"/>
        <w:gridCol w:w="2376"/>
      </w:tblGrid>
      <w:tr w14:paraId="68F61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5CDDC13F">
            <w:pPr>
              <w:adjustRightInd w:val="0"/>
              <w:snapToGrid w:val="0"/>
              <w:spacing w:line="300" w:lineRule="auto"/>
              <w:jc w:val="center"/>
              <w:rPr>
                <w:b/>
                <w:snapToGrid w:val="0"/>
                <w:kern w:val="0"/>
              </w:rPr>
            </w:pPr>
            <w:r>
              <w:rPr>
                <w:b/>
                <w:snapToGrid w:val="0"/>
                <w:kern w:val="0"/>
              </w:rPr>
              <w:t>序号</w:t>
            </w:r>
          </w:p>
        </w:tc>
        <w:tc>
          <w:tcPr>
            <w:tcW w:w="3249" w:type="dxa"/>
            <w:vAlign w:val="center"/>
          </w:tcPr>
          <w:p w14:paraId="301ABC29">
            <w:pPr>
              <w:adjustRightInd w:val="0"/>
              <w:snapToGrid w:val="0"/>
              <w:spacing w:line="300" w:lineRule="auto"/>
              <w:jc w:val="center"/>
              <w:rPr>
                <w:b/>
                <w:snapToGrid w:val="0"/>
                <w:kern w:val="0"/>
              </w:rPr>
            </w:pPr>
            <w:r>
              <w:rPr>
                <w:rFonts w:hint="eastAsia"/>
                <w:b/>
                <w:snapToGrid w:val="0"/>
                <w:kern w:val="0"/>
              </w:rPr>
              <w:t>项目内容</w:t>
            </w:r>
          </w:p>
        </w:tc>
        <w:tc>
          <w:tcPr>
            <w:tcW w:w="2835" w:type="dxa"/>
            <w:vAlign w:val="center"/>
          </w:tcPr>
          <w:p w14:paraId="0170386C">
            <w:pPr>
              <w:adjustRightInd w:val="0"/>
              <w:snapToGrid w:val="0"/>
              <w:spacing w:line="300" w:lineRule="auto"/>
              <w:jc w:val="center"/>
              <w:rPr>
                <w:b/>
                <w:snapToGrid w:val="0"/>
                <w:kern w:val="0"/>
              </w:rPr>
            </w:pPr>
            <w:r>
              <w:rPr>
                <w:rFonts w:hint="eastAsia"/>
                <w:b/>
                <w:snapToGrid w:val="0"/>
                <w:kern w:val="0"/>
              </w:rPr>
              <w:t>折扣率</w:t>
            </w:r>
          </w:p>
        </w:tc>
        <w:tc>
          <w:tcPr>
            <w:tcW w:w="2376" w:type="dxa"/>
            <w:vAlign w:val="center"/>
          </w:tcPr>
          <w:p w14:paraId="78357B3B">
            <w:pPr>
              <w:adjustRightInd w:val="0"/>
              <w:snapToGrid w:val="0"/>
              <w:spacing w:line="300" w:lineRule="auto"/>
              <w:jc w:val="center"/>
              <w:rPr>
                <w:b/>
                <w:snapToGrid w:val="0"/>
                <w:kern w:val="0"/>
              </w:rPr>
            </w:pPr>
            <w:r>
              <w:rPr>
                <w:rFonts w:hint="eastAsia"/>
                <w:b/>
                <w:snapToGrid w:val="0"/>
                <w:kern w:val="0"/>
              </w:rPr>
              <w:t>备注</w:t>
            </w:r>
          </w:p>
        </w:tc>
      </w:tr>
      <w:tr w14:paraId="3AF594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28" w:type="dxa"/>
            <w:vAlign w:val="center"/>
          </w:tcPr>
          <w:p w14:paraId="1524D6B2">
            <w:pPr>
              <w:adjustRightInd w:val="0"/>
              <w:snapToGrid w:val="0"/>
              <w:spacing w:line="300" w:lineRule="auto"/>
              <w:jc w:val="center"/>
              <w:rPr>
                <w:snapToGrid w:val="0"/>
                <w:kern w:val="0"/>
              </w:rPr>
            </w:pPr>
            <w:r>
              <w:rPr>
                <w:snapToGrid w:val="0"/>
                <w:kern w:val="0"/>
              </w:rPr>
              <w:t>1</w:t>
            </w:r>
          </w:p>
        </w:tc>
        <w:tc>
          <w:tcPr>
            <w:tcW w:w="3249" w:type="dxa"/>
            <w:vAlign w:val="center"/>
          </w:tcPr>
          <w:p w14:paraId="6C9BEB2A">
            <w:pPr>
              <w:adjustRightInd w:val="0"/>
              <w:snapToGrid w:val="0"/>
              <w:spacing w:line="300" w:lineRule="auto"/>
              <w:rPr>
                <w:snapToGrid w:val="0"/>
                <w:kern w:val="0"/>
              </w:rPr>
            </w:pPr>
          </w:p>
        </w:tc>
        <w:tc>
          <w:tcPr>
            <w:tcW w:w="2835" w:type="dxa"/>
            <w:vAlign w:val="center"/>
          </w:tcPr>
          <w:p w14:paraId="64056A71">
            <w:pPr>
              <w:adjustRightInd w:val="0"/>
              <w:snapToGrid w:val="0"/>
              <w:spacing w:line="300" w:lineRule="auto"/>
              <w:jc w:val="center"/>
              <w:rPr>
                <w:snapToGrid w:val="0"/>
                <w:kern w:val="0"/>
              </w:rPr>
            </w:pPr>
          </w:p>
        </w:tc>
        <w:tc>
          <w:tcPr>
            <w:tcW w:w="2376" w:type="dxa"/>
            <w:vAlign w:val="center"/>
          </w:tcPr>
          <w:p w14:paraId="0D90A544">
            <w:pPr>
              <w:adjustRightInd w:val="0"/>
              <w:snapToGrid w:val="0"/>
              <w:spacing w:line="300" w:lineRule="auto"/>
              <w:jc w:val="center"/>
              <w:rPr>
                <w:snapToGrid w:val="0"/>
                <w:kern w:val="0"/>
              </w:rPr>
            </w:pPr>
          </w:p>
        </w:tc>
      </w:tr>
    </w:tbl>
    <w:p w14:paraId="58C8F3AB">
      <w:pPr>
        <w:tabs>
          <w:tab w:val="left" w:pos="765"/>
        </w:tabs>
        <w:spacing w:line="376" w:lineRule="auto"/>
        <w:outlineLvl w:val="3"/>
        <w:rPr>
          <w:rFonts w:ascii="宋体" w:hAnsi="宋体"/>
          <w:bCs/>
          <w:kern w:val="0"/>
          <w:szCs w:val="21"/>
        </w:rPr>
      </w:pPr>
      <w:r>
        <w:rPr>
          <w:rFonts w:hint="eastAsia" w:ascii="宋体" w:hAnsi="宋体"/>
          <w:bCs/>
          <w:kern w:val="0"/>
          <w:szCs w:val="21"/>
        </w:rPr>
        <w:t>注：1、本项目投标报价指投标折扣率，折扣率必须小于或等于1，折扣率在服务期限内保持不变。</w:t>
      </w:r>
    </w:p>
    <w:p w14:paraId="104AB3C1">
      <w:pPr>
        <w:tabs>
          <w:tab w:val="left" w:pos="765"/>
        </w:tabs>
        <w:spacing w:line="377" w:lineRule="auto"/>
        <w:ind w:firstLine="420" w:firstLineChars="200"/>
        <w:outlineLvl w:val="3"/>
        <w:rPr>
          <w:rFonts w:ascii="宋体" w:hAnsi="宋体"/>
          <w:bCs/>
          <w:kern w:val="0"/>
          <w:szCs w:val="21"/>
        </w:rPr>
      </w:pPr>
      <w:r>
        <w:rPr>
          <w:rFonts w:hint="eastAsia" w:ascii="宋体" w:hAnsi="宋体"/>
          <w:bCs/>
          <w:kern w:val="0"/>
          <w:szCs w:val="21"/>
        </w:rPr>
        <w:t>（1）填写要求：0＜折扣率≤1，未按此要求填写将作废标处理。</w:t>
      </w:r>
    </w:p>
    <w:p w14:paraId="0159381C">
      <w:pPr>
        <w:tabs>
          <w:tab w:val="left" w:pos="765"/>
        </w:tabs>
        <w:spacing w:line="377" w:lineRule="auto"/>
        <w:ind w:firstLine="420" w:firstLineChars="200"/>
        <w:outlineLvl w:val="3"/>
        <w:rPr>
          <w:rFonts w:ascii="宋体" w:hAnsi="宋体"/>
          <w:bCs/>
          <w:kern w:val="0"/>
          <w:szCs w:val="21"/>
        </w:rPr>
      </w:pPr>
      <w:r>
        <w:rPr>
          <w:rFonts w:hint="eastAsia" w:ascii="宋体" w:hAnsi="宋体"/>
          <w:bCs/>
          <w:kern w:val="0"/>
          <w:szCs w:val="21"/>
        </w:rPr>
        <w:t>（2）填写的“折扣率”应为小数，（如：0.90、0.80、0.78，最多保留小数点后两位）；</w:t>
      </w:r>
    </w:p>
    <w:p w14:paraId="2648E06C">
      <w:pPr>
        <w:tabs>
          <w:tab w:val="left" w:pos="765"/>
        </w:tabs>
        <w:spacing w:line="377" w:lineRule="auto"/>
        <w:ind w:firstLine="420" w:firstLineChars="200"/>
        <w:outlineLvl w:val="3"/>
        <w:rPr>
          <w:rFonts w:ascii="宋体" w:hAnsi="宋体"/>
          <w:bCs/>
          <w:kern w:val="0"/>
          <w:szCs w:val="21"/>
        </w:rPr>
      </w:pPr>
      <w:r>
        <w:rPr>
          <w:rFonts w:hint="eastAsia" w:ascii="宋体" w:hAnsi="宋体"/>
          <w:bCs/>
          <w:kern w:val="0"/>
          <w:szCs w:val="21"/>
        </w:rPr>
        <w:t>（3）投标人参与投标只允许填报一个“折扣率”，不允许填报2个（或以上）的“折扣率”；填报了2个或以上“折扣率”的，其投标将直接作投标无效处理；</w:t>
      </w:r>
    </w:p>
    <w:p w14:paraId="7536832B">
      <w:pPr>
        <w:tabs>
          <w:tab w:val="left" w:pos="765"/>
        </w:tabs>
        <w:spacing w:line="377" w:lineRule="auto"/>
        <w:ind w:firstLine="420" w:firstLineChars="200"/>
        <w:outlineLvl w:val="3"/>
        <w:rPr>
          <w:rFonts w:ascii="宋体" w:hAnsi="宋体"/>
          <w:bCs/>
          <w:kern w:val="0"/>
          <w:szCs w:val="21"/>
        </w:rPr>
      </w:pPr>
      <w:r>
        <w:rPr>
          <w:rFonts w:hint="eastAsia" w:ascii="宋体" w:hAnsi="宋体"/>
          <w:bCs/>
          <w:kern w:val="0"/>
          <w:szCs w:val="21"/>
        </w:rPr>
        <w:t>（4）“折扣率”缺填、漏填将直接作投标无效处理。</w:t>
      </w:r>
    </w:p>
    <w:p w14:paraId="56445308">
      <w:pPr>
        <w:tabs>
          <w:tab w:val="left" w:pos="765"/>
        </w:tabs>
        <w:spacing w:line="376" w:lineRule="auto"/>
        <w:outlineLvl w:val="3"/>
        <w:rPr>
          <w:rFonts w:ascii="宋体" w:hAnsi="宋体"/>
          <w:bCs/>
          <w:kern w:val="0"/>
          <w:szCs w:val="21"/>
        </w:rPr>
      </w:pPr>
      <w:r>
        <w:rPr>
          <w:rFonts w:hint="eastAsia" w:ascii="宋体" w:hAnsi="宋体"/>
          <w:bCs/>
          <w:kern w:val="0"/>
          <w:szCs w:val="21"/>
        </w:rPr>
        <w:t>2、开标一览表的投标报价必须与以上分项报价清单的投标报价一致。</w:t>
      </w:r>
    </w:p>
    <w:p w14:paraId="28B99D03">
      <w:pPr>
        <w:tabs>
          <w:tab w:val="left" w:pos="765"/>
        </w:tabs>
        <w:spacing w:line="376" w:lineRule="auto"/>
        <w:outlineLvl w:val="3"/>
        <w:rPr>
          <w:rFonts w:asciiTheme="minorEastAsia" w:hAnsiTheme="minorEastAsia" w:eastAsiaTheme="minorEastAsia"/>
          <w:bCs/>
          <w:kern w:val="0"/>
          <w:szCs w:val="21"/>
        </w:rPr>
      </w:pPr>
      <w:r>
        <w:rPr>
          <w:rFonts w:hint="eastAsia" w:ascii="宋体" w:hAnsi="宋体"/>
          <w:bCs/>
          <w:kern w:val="0"/>
          <w:szCs w:val="21"/>
        </w:rPr>
        <w:t>3、</w:t>
      </w:r>
      <w:r>
        <w:rPr>
          <w:rFonts w:hint="eastAsia" w:ascii="宋体" w:hAnsi="宋体"/>
          <w:szCs w:val="21"/>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85CC4A">
      <w:pPr>
        <w:tabs>
          <w:tab w:val="left" w:pos="765"/>
        </w:tabs>
        <w:spacing w:line="376" w:lineRule="auto"/>
        <w:outlineLvl w:val="3"/>
        <w:rPr>
          <w:rFonts w:asciiTheme="minorEastAsia" w:hAnsiTheme="minorEastAsia" w:eastAsiaTheme="minorEastAsia"/>
          <w:bCs/>
          <w:kern w:val="0"/>
          <w:szCs w:val="21"/>
        </w:rPr>
      </w:pPr>
    </w:p>
    <w:p w14:paraId="3DA91780">
      <w:pPr>
        <w:spacing w:after="156" w:afterLines="50"/>
        <w:jc w:val="center"/>
        <w:rPr>
          <w:rFonts w:ascii="黑体" w:hAnsi="宋体" w:eastAsia="黑体"/>
          <w:bCs/>
          <w:kern w:val="0"/>
          <w:sz w:val="24"/>
          <w:szCs w:val="24"/>
        </w:rPr>
      </w:pPr>
      <w:r>
        <w:rPr>
          <w:rFonts w:hint="eastAsia" w:ascii="黑体" w:hAnsi="宋体" w:eastAsia="黑体"/>
          <w:bCs/>
          <w:kern w:val="0"/>
          <w:sz w:val="24"/>
          <w:szCs w:val="24"/>
        </w:rPr>
        <w:t>十、服务要求偏离表</w:t>
      </w:r>
    </w:p>
    <w:tbl>
      <w:tblPr>
        <w:tblStyle w:val="4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2268"/>
        <w:gridCol w:w="1276"/>
        <w:gridCol w:w="2551"/>
      </w:tblGrid>
      <w:tr w14:paraId="7AAB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Align w:val="center"/>
          </w:tcPr>
          <w:p w14:paraId="603C6B93">
            <w:pPr>
              <w:jc w:val="center"/>
              <w:rPr>
                <w:rFonts w:ascii="宋体" w:hAnsi="宋体"/>
                <w:szCs w:val="21"/>
              </w:rPr>
            </w:pPr>
            <w:r>
              <w:rPr>
                <w:rFonts w:hint="eastAsia" w:ascii="宋体" w:hAnsi="宋体"/>
                <w:szCs w:val="21"/>
              </w:rPr>
              <w:t>序号</w:t>
            </w:r>
          </w:p>
        </w:tc>
        <w:tc>
          <w:tcPr>
            <w:tcW w:w="2268" w:type="dxa"/>
            <w:vAlign w:val="center"/>
          </w:tcPr>
          <w:p w14:paraId="392D02E3">
            <w:pPr>
              <w:jc w:val="center"/>
              <w:rPr>
                <w:rFonts w:ascii="宋体" w:hAnsi="宋体"/>
                <w:szCs w:val="21"/>
              </w:rPr>
            </w:pPr>
            <w:r>
              <w:rPr>
                <w:rFonts w:hint="eastAsia" w:ascii="宋体" w:hAnsi="宋体"/>
                <w:szCs w:val="21"/>
              </w:rPr>
              <w:t>招标文件服务要求</w:t>
            </w:r>
          </w:p>
        </w:tc>
        <w:tc>
          <w:tcPr>
            <w:tcW w:w="2268" w:type="dxa"/>
            <w:vAlign w:val="center"/>
          </w:tcPr>
          <w:p w14:paraId="44FECEF3">
            <w:pPr>
              <w:jc w:val="center"/>
              <w:rPr>
                <w:rFonts w:ascii="宋体" w:hAnsi="宋体"/>
                <w:szCs w:val="21"/>
              </w:rPr>
            </w:pPr>
            <w:r>
              <w:rPr>
                <w:rFonts w:hint="eastAsia" w:ascii="宋体" w:hAnsi="宋体"/>
                <w:szCs w:val="21"/>
              </w:rPr>
              <w:t>投标文件服务响应</w:t>
            </w:r>
          </w:p>
        </w:tc>
        <w:tc>
          <w:tcPr>
            <w:tcW w:w="1276" w:type="dxa"/>
            <w:vAlign w:val="center"/>
          </w:tcPr>
          <w:p w14:paraId="16AC9712">
            <w:pPr>
              <w:jc w:val="center"/>
              <w:rPr>
                <w:rFonts w:ascii="宋体" w:hAnsi="宋体"/>
                <w:szCs w:val="21"/>
              </w:rPr>
            </w:pPr>
            <w:r>
              <w:rPr>
                <w:rFonts w:hint="eastAsia" w:ascii="宋体" w:hAnsi="宋体"/>
                <w:szCs w:val="21"/>
              </w:rPr>
              <w:t>偏离情况</w:t>
            </w:r>
          </w:p>
        </w:tc>
        <w:tc>
          <w:tcPr>
            <w:tcW w:w="2551" w:type="dxa"/>
            <w:vAlign w:val="center"/>
          </w:tcPr>
          <w:p w14:paraId="1BF56F72">
            <w:pPr>
              <w:jc w:val="center"/>
              <w:rPr>
                <w:rFonts w:ascii="宋体" w:hAnsi="宋体"/>
                <w:szCs w:val="21"/>
              </w:rPr>
            </w:pPr>
            <w:r>
              <w:rPr>
                <w:rFonts w:hint="eastAsia" w:ascii="宋体" w:hAnsi="宋体"/>
                <w:szCs w:val="21"/>
              </w:rPr>
              <w:t>说明</w:t>
            </w:r>
          </w:p>
        </w:tc>
      </w:tr>
      <w:tr w14:paraId="6019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0C9D103E">
            <w:pPr>
              <w:rPr>
                <w:sz w:val="24"/>
              </w:rPr>
            </w:pPr>
          </w:p>
        </w:tc>
        <w:tc>
          <w:tcPr>
            <w:tcW w:w="2268" w:type="dxa"/>
          </w:tcPr>
          <w:p w14:paraId="0D37F74F">
            <w:pPr>
              <w:rPr>
                <w:sz w:val="24"/>
              </w:rPr>
            </w:pPr>
          </w:p>
        </w:tc>
        <w:tc>
          <w:tcPr>
            <w:tcW w:w="2268" w:type="dxa"/>
          </w:tcPr>
          <w:p w14:paraId="21FEF2EA">
            <w:pPr>
              <w:rPr>
                <w:sz w:val="24"/>
              </w:rPr>
            </w:pPr>
          </w:p>
        </w:tc>
        <w:tc>
          <w:tcPr>
            <w:tcW w:w="1276" w:type="dxa"/>
          </w:tcPr>
          <w:p w14:paraId="28032753">
            <w:pPr>
              <w:rPr>
                <w:sz w:val="24"/>
              </w:rPr>
            </w:pPr>
          </w:p>
        </w:tc>
        <w:tc>
          <w:tcPr>
            <w:tcW w:w="2551" w:type="dxa"/>
          </w:tcPr>
          <w:p w14:paraId="4D0AB93E">
            <w:pPr>
              <w:rPr>
                <w:szCs w:val="21"/>
              </w:rPr>
            </w:pPr>
            <w:r>
              <w:rPr>
                <w:rFonts w:hint="eastAsia"/>
                <w:szCs w:val="21"/>
              </w:rPr>
              <w:t>如需附证明文件，应在“说明”栏填写证明文件对应名称和页码。</w:t>
            </w:r>
          </w:p>
        </w:tc>
      </w:tr>
      <w:tr w14:paraId="65AE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4477A601">
            <w:pPr>
              <w:rPr>
                <w:sz w:val="24"/>
              </w:rPr>
            </w:pPr>
          </w:p>
        </w:tc>
        <w:tc>
          <w:tcPr>
            <w:tcW w:w="2268" w:type="dxa"/>
          </w:tcPr>
          <w:p w14:paraId="1C6706DB">
            <w:pPr>
              <w:rPr>
                <w:sz w:val="24"/>
              </w:rPr>
            </w:pPr>
          </w:p>
        </w:tc>
        <w:tc>
          <w:tcPr>
            <w:tcW w:w="2268" w:type="dxa"/>
          </w:tcPr>
          <w:p w14:paraId="000C4063">
            <w:pPr>
              <w:rPr>
                <w:sz w:val="24"/>
              </w:rPr>
            </w:pPr>
          </w:p>
        </w:tc>
        <w:tc>
          <w:tcPr>
            <w:tcW w:w="1276" w:type="dxa"/>
          </w:tcPr>
          <w:p w14:paraId="13836116">
            <w:pPr>
              <w:rPr>
                <w:sz w:val="24"/>
              </w:rPr>
            </w:pPr>
          </w:p>
        </w:tc>
        <w:tc>
          <w:tcPr>
            <w:tcW w:w="2551" w:type="dxa"/>
          </w:tcPr>
          <w:p w14:paraId="7D597987">
            <w:pPr>
              <w:rPr>
                <w:sz w:val="24"/>
              </w:rPr>
            </w:pPr>
          </w:p>
        </w:tc>
      </w:tr>
    </w:tbl>
    <w:p w14:paraId="6D9CF439">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037CE7DC">
      <w:pPr>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1</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“招标文件服务要求”一栏填写招标文件第二章“招标项目需求”</w:t>
      </w:r>
      <w:r>
        <w:rPr>
          <w:rFonts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rPr>
        <w:t>四、项目</w:t>
      </w:r>
      <w:r>
        <w:rPr>
          <w:rFonts w:asciiTheme="minorEastAsia" w:hAnsiTheme="minorEastAsia" w:eastAsiaTheme="minorEastAsia"/>
          <w:b/>
          <w:bCs/>
          <w:kern w:val="0"/>
          <w:szCs w:val="21"/>
          <w:highlight w:val="yellow"/>
        </w:rPr>
        <w:t>服务</w:t>
      </w:r>
      <w:r>
        <w:rPr>
          <w:rFonts w:hint="eastAsia" w:asciiTheme="minorEastAsia" w:hAnsiTheme="minorEastAsia" w:eastAsiaTheme="minorEastAsia"/>
          <w:b/>
          <w:bCs/>
          <w:kern w:val="0"/>
          <w:szCs w:val="21"/>
          <w:highlight w:val="yellow"/>
        </w:rPr>
        <w:t>要求</w:t>
      </w:r>
      <w:r>
        <w:rPr>
          <w:rFonts w:asciiTheme="minorEastAsia" w:hAnsiTheme="minorEastAsia" w:eastAsiaTheme="minorEastAsia"/>
          <w:b/>
          <w:bCs/>
          <w:kern w:val="0"/>
          <w:szCs w:val="21"/>
          <w:highlight w:val="yellow"/>
        </w:rPr>
        <w:t>”</w:t>
      </w:r>
      <w:r>
        <w:rPr>
          <w:rFonts w:asciiTheme="minorEastAsia" w:hAnsiTheme="minorEastAsia" w:eastAsiaTheme="minorEastAsia"/>
          <w:bCs/>
          <w:kern w:val="0"/>
          <w:szCs w:val="21"/>
        </w:rPr>
        <w:t>的内容。</w:t>
      </w:r>
    </w:p>
    <w:p w14:paraId="6C589697">
      <w:pPr>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“投标文件服务</w:t>
      </w:r>
      <w:r>
        <w:rPr>
          <w:rFonts w:hint="eastAsia" w:asciiTheme="minorEastAsia" w:hAnsiTheme="minorEastAsia" w:eastAsiaTheme="minorEastAsia"/>
          <w:bCs/>
          <w:kern w:val="0"/>
          <w:szCs w:val="21"/>
        </w:rPr>
        <w:t>响应</w:t>
      </w:r>
      <w:r>
        <w:rPr>
          <w:rFonts w:asciiTheme="minorEastAsia" w:hAnsiTheme="minorEastAsia" w:eastAsiaTheme="minorEastAsia"/>
          <w:bCs/>
          <w:kern w:val="0"/>
          <w:szCs w:val="21"/>
        </w:rPr>
        <w:t>”一栏详细填写响应情况，并应对照</w:t>
      </w:r>
      <w:r>
        <w:rPr>
          <w:rFonts w:hint="eastAsia" w:asciiTheme="minorEastAsia" w:hAnsiTheme="minorEastAsia" w:eastAsiaTheme="minorEastAsia"/>
          <w:bCs/>
          <w:kern w:val="0"/>
          <w:szCs w:val="21"/>
        </w:rPr>
        <w:t>招</w:t>
      </w:r>
      <w:r>
        <w:rPr>
          <w:rFonts w:asciiTheme="minorEastAsia" w:hAnsiTheme="minorEastAsia" w:eastAsiaTheme="minorEastAsia"/>
          <w:bCs/>
          <w:kern w:val="0"/>
          <w:szCs w:val="21"/>
        </w:rPr>
        <w:t>标文件</w:t>
      </w:r>
      <w:r>
        <w:rPr>
          <w:rFonts w:hint="eastAsia" w:asciiTheme="minorEastAsia" w:hAnsiTheme="minorEastAsia" w:eastAsiaTheme="minorEastAsia"/>
          <w:bCs/>
          <w:kern w:val="0"/>
          <w:szCs w:val="21"/>
        </w:rPr>
        <w:t>服务</w:t>
      </w:r>
      <w:r>
        <w:rPr>
          <w:rFonts w:asciiTheme="minorEastAsia" w:hAnsiTheme="minorEastAsia" w:eastAsiaTheme="minorEastAsia"/>
          <w:bCs/>
          <w:kern w:val="0"/>
          <w:szCs w:val="21"/>
        </w:rPr>
        <w:t>要求一一对应响应。</w:t>
      </w:r>
    </w:p>
    <w:p w14:paraId="3762F06F">
      <w:pPr>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3</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“偏离情况”一栏应如实填写“正偏离”、“负偏离”或“无偏离”。</w:t>
      </w:r>
    </w:p>
    <w:p w14:paraId="1F117D53">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7970A46A">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7DB2114">
      <w:pPr>
        <w:spacing w:after="156" w:afterLines="50"/>
        <w:jc w:val="center"/>
        <w:rPr>
          <w:rFonts w:ascii="黑体" w:hAnsi="宋体" w:eastAsia="黑体"/>
          <w:bCs/>
          <w:kern w:val="0"/>
          <w:sz w:val="24"/>
          <w:szCs w:val="24"/>
        </w:rPr>
      </w:pPr>
      <w:r>
        <w:rPr>
          <w:rFonts w:hint="eastAsia" w:ascii="黑体" w:hAnsi="宋体" w:eastAsia="黑体"/>
          <w:bCs/>
          <w:kern w:val="0"/>
          <w:sz w:val="24"/>
          <w:szCs w:val="24"/>
        </w:rPr>
        <w:t>十一、商务要求偏离表</w:t>
      </w:r>
    </w:p>
    <w:tbl>
      <w:tblPr>
        <w:tblStyle w:val="44"/>
        <w:tblW w:w="9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3"/>
        <w:gridCol w:w="2263"/>
        <w:gridCol w:w="1275"/>
        <w:gridCol w:w="2512"/>
      </w:tblGrid>
      <w:tr w14:paraId="20CC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5B3BAA32">
            <w:pPr>
              <w:jc w:val="center"/>
              <w:rPr>
                <w:rFonts w:ascii="宋体" w:hAnsi="宋体"/>
                <w:szCs w:val="21"/>
              </w:rPr>
            </w:pPr>
            <w:r>
              <w:rPr>
                <w:rFonts w:hint="eastAsia" w:ascii="宋体" w:hAnsi="宋体"/>
                <w:szCs w:val="21"/>
              </w:rPr>
              <w:t>序号</w:t>
            </w:r>
          </w:p>
        </w:tc>
        <w:tc>
          <w:tcPr>
            <w:tcW w:w="2263" w:type="dxa"/>
            <w:vAlign w:val="center"/>
          </w:tcPr>
          <w:p w14:paraId="5D806AEF">
            <w:pPr>
              <w:jc w:val="center"/>
              <w:rPr>
                <w:rFonts w:ascii="宋体" w:hAnsi="宋体"/>
                <w:szCs w:val="21"/>
              </w:rPr>
            </w:pPr>
            <w:r>
              <w:rPr>
                <w:rFonts w:hint="eastAsia" w:ascii="宋体" w:hAnsi="宋体"/>
                <w:szCs w:val="21"/>
              </w:rPr>
              <w:t>招标文件商务要求</w:t>
            </w:r>
          </w:p>
        </w:tc>
        <w:tc>
          <w:tcPr>
            <w:tcW w:w="2263" w:type="dxa"/>
            <w:vAlign w:val="center"/>
          </w:tcPr>
          <w:p w14:paraId="07759FD0">
            <w:pPr>
              <w:jc w:val="center"/>
              <w:rPr>
                <w:rFonts w:ascii="宋体" w:hAnsi="宋体"/>
                <w:szCs w:val="21"/>
              </w:rPr>
            </w:pPr>
            <w:r>
              <w:rPr>
                <w:rFonts w:hint="eastAsia" w:ascii="宋体" w:hAnsi="宋体"/>
                <w:szCs w:val="21"/>
              </w:rPr>
              <w:t>投标文件商务响应</w:t>
            </w:r>
          </w:p>
        </w:tc>
        <w:tc>
          <w:tcPr>
            <w:tcW w:w="1275" w:type="dxa"/>
            <w:vAlign w:val="center"/>
          </w:tcPr>
          <w:p w14:paraId="4A862B90">
            <w:pPr>
              <w:jc w:val="center"/>
              <w:rPr>
                <w:rFonts w:ascii="宋体" w:hAnsi="宋体"/>
                <w:szCs w:val="21"/>
              </w:rPr>
            </w:pPr>
            <w:r>
              <w:rPr>
                <w:rFonts w:hint="eastAsia" w:ascii="宋体" w:hAnsi="宋体"/>
                <w:szCs w:val="21"/>
              </w:rPr>
              <w:t>偏离情况</w:t>
            </w:r>
          </w:p>
        </w:tc>
        <w:tc>
          <w:tcPr>
            <w:tcW w:w="2512" w:type="dxa"/>
            <w:vAlign w:val="center"/>
          </w:tcPr>
          <w:p w14:paraId="054D3953">
            <w:pPr>
              <w:jc w:val="center"/>
              <w:rPr>
                <w:rFonts w:ascii="宋体" w:hAnsi="宋体"/>
                <w:szCs w:val="21"/>
              </w:rPr>
            </w:pPr>
            <w:r>
              <w:rPr>
                <w:rFonts w:hint="eastAsia" w:ascii="宋体" w:hAnsi="宋体"/>
                <w:szCs w:val="21"/>
              </w:rPr>
              <w:t>说明</w:t>
            </w:r>
          </w:p>
        </w:tc>
      </w:tr>
      <w:tr w14:paraId="008A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tcPr>
          <w:p w14:paraId="1D378F93">
            <w:pPr>
              <w:rPr>
                <w:sz w:val="24"/>
              </w:rPr>
            </w:pPr>
          </w:p>
        </w:tc>
        <w:tc>
          <w:tcPr>
            <w:tcW w:w="2263" w:type="dxa"/>
          </w:tcPr>
          <w:p w14:paraId="402B7394">
            <w:pPr>
              <w:rPr>
                <w:sz w:val="24"/>
              </w:rPr>
            </w:pPr>
          </w:p>
        </w:tc>
        <w:tc>
          <w:tcPr>
            <w:tcW w:w="2263" w:type="dxa"/>
          </w:tcPr>
          <w:p w14:paraId="2F70012C">
            <w:pPr>
              <w:rPr>
                <w:sz w:val="24"/>
              </w:rPr>
            </w:pPr>
          </w:p>
        </w:tc>
        <w:tc>
          <w:tcPr>
            <w:tcW w:w="1275" w:type="dxa"/>
          </w:tcPr>
          <w:p w14:paraId="39F03553">
            <w:pPr>
              <w:rPr>
                <w:sz w:val="24"/>
              </w:rPr>
            </w:pPr>
          </w:p>
        </w:tc>
        <w:tc>
          <w:tcPr>
            <w:tcW w:w="2512" w:type="dxa"/>
          </w:tcPr>
          <w:p w14:paraId="0B1E86CF">
            <w:pPr>
              <w:rPr>
                <w:sz w:val="24"/>
              </w:rPr>
            </w:pPr>
            <w:r>
              <w:rPr>
                <w:rFonts w:hint="eastAsia"/>
                <w:szCs w:val="21"/>
              </w:rPr>
              <w:t>如需附证明文件，应在“说明”栏填写证明文件对应名称和页码。</w:t>
            </w:r>
          </w:p>
        </w:tc>
      </w:tr>
      <w:tr w14:paraId="16C6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5D9EE157">
            <w:pPr>
              <w:rPr>
                <w:sz w:val="24"/>
              </w:rPr>
            </w:pPr>
          </w:p>
        </w:tc>
        <w:tc>
          <w:tcPr>
            <w:tcW w:w="2263" w:type="dxa"/>
          </w:tcPr>
          <w:p w14:paraId="73C2C76D">
            <w:pPr>
              <w:rPr>
                <w:sz w:val="24"/>
              </w:rPr>
            </w:pPr>
          </w:p>
        </w:tc>
        <w:tc>
          <w:tcPr>
            <w:tcW w:w="2263" w:type="dxa"/>
          </w:tcPr>
          <w:p w14:paraId="02F2805F">
            <w:pPr>
              <w:rPr>
                <w:sz w:val="24"/>
              </w:rPr>
            </w:pPr>
          </w:p>
        </w:tc>
        <w:tc>
          <w:tcPr>
            <w:tcW w:w="1275" w:type="dxa"/>
          </w:tcPr>
          <w:p w14:paraId="47877639">
            <w:pPr>
              <w:rPr>
                <w:sz w:val="24"/>
              </w:rPr>
            </w:pPr>
          </w:p>
        </w:tc>
        <w:tc>
          <w:tcPr>
            <w:tcW w:w="2512" w:type="dxa"/>
          </w:tcPr>
          <w:p w14:paraId="406E3D51">
            <w:pPr>
              <w:rPr>
                <w:sz w:val="24"/>
              </w:rPr>
            </w:pPr>
          </w:p>
        </w:tc>
      </w:tr>
    </w:tbl>
    <w:p w14:paraId="30A59593">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0B98814C">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1、“招标文件商务服务要求”一栏填写招标文件第二章“招标项目需求”</w:t>
      </w:r>
      <w:r>
        <w:rPr>
          <w:rFonts w:hint="eastAsia" w:asciiTheme="minorEastAsia" w:hAnsiTheme="minorEastAsia" w:eastAsiaTheme="minorEastAsia"/>
          <w:b/>
          <w:bCs/>
          <w:kern w:val="0"/>
          <w:szCs w:val="21"/>
          <w:highlight w:val="yellow"/>
        </w:rPr>
        <w:t>“五、项目商务要求”</w:t>
      </w:r>
      <w:r>
        <w:rPr>
          <w:rFonts w:hint="eastAsia" w:asciiTheme="minorEastAsia" w:hAnsiTheme="minorEastAsia" w:eastAsiaTheme="minorEastAsia"/>
          <w:bCs/>
          <w:kern w:val="0"/>
          <w:szCs w:val="21"/>
        </w:rPr>
        <w:t>的内容</w:t>
      </w:r>
      <w:r>
        <w:rPr>
          <w:rFonts w:asciiTheme="minorEastAsia" w:hAnsiTheme="minorEastAsia" w:eastAsiaTheme="minorEastAsia"/>
          <w:bCs/>
          <w:kern w:val="0"/>
          <w:szCs w:val="21"/>
        </w:rPr>
        <w:t>。</w:t>
      </w:r>
    </w:p>
    <w:p w14:paraId="78B81C11">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2、“投标文件商务响应”一栏详细填写投标商务条款的内容</w:t>
      </w:r>
      <w:r>
        <w:rPr>
          <w:rFonts w:asciiTheme="minorEastAsia" w:hAnsiTheme="minorEastAsia" w:eastAsiaTheme="minorEastAsia"/>
          <w:bCs/>
          <w:kern w:val="0"/>
          <w:szCs w:val="21"/>
        </w:rPr>
        <w:t>。</w:t>
      </w:r>
    </w:p>
    <w:p w14:paraId="4B3EC746">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3、“偏离情况”栏中应如实填写“正偏离”、“负偏离”或“无偏离”</w:t>
      </w:r>
      <w:r>
        <w:rPr>
          <w:rFonts w:asciiTheme="minorEastAsia" w:hAnsiTheme="minorEastAsia" w:eastAsiaTheme="minorEastAsia"/>
          <w:bCs/>
          <w:kern w:val="0"/>
          <w:szCs w:val="21"/>
        </w:rPr>
        <w:t>。</w:t>
      </w:r>
    </w:p>
    <w:p w14:paraId="75C2138F">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4FD348B6">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8E6E274">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rPr>
        <w:t>十二、实施方案</w:t>
      </w:r>
    </w:p>
    <w:p w14:paraId="6070D808">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十三、</w:t>
      </w:r>
      <w:r>
        <w:rPr>
          <w:rFonts w:hint="eastAsia" w:ascii="黑体" w:hAnsi="宋体" w:eastAsia="黑体"/>
          <w:bCs/>
          <w:kern w:val="0"/>
          <w:sz w:val="24"/>
          <w:szCs w:val="24"/>
        </w:rPr>
        <w:t>内控制度情况</w:t>
      </w:r>
    </w:p>
    <w:p w14:paraId="5211D81B">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十四、</w:t>
      </w:r>
      <w:r>
        <w:rPr>
          <w:rFonts w:hint="eastAsia" w:ascii="黑体" w:hAnsi="宋体" w:eastAsia="黑体"/>
          <w:bCs/>
          <w:kern w:val="0"/>
          <w:sz w:val="24"/>
          <w:szCs w:val="24"/>
        </w:rPr>
        <w:t>应急方案</w:t>
      </w:r>
    </w:p>
    <w:p w14:paraId="6AE53D35">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十五、</w:t>
      </w:r>
      <w:r>
        <w:rPr>
          <w:rFonts w:hint="eastAsia" w:ascii="黑体" w:hAnsi="宋体" w:eastAsia="黑体"/>
          <w:bCs/>
          <w:kern w:val="0"/>
          <w:sz w:val="24"/>
          <w:szCs w:val="24"/>
        </w:rPr>
        <w:t>检验检测报告</w:t>
      </w:r>
    </w:p>
    <w:p w14:paraId="3092CC25">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十六、</w:t>
      </w:r>
      <w:r>
        <w:rPr>
          <w:rFonts w:hint="eastAsia" w:ascii="黑体" w:hAnsi="宋体" w:eastAsia="黑体"/>
          <w:bCs/>
          <w:kern w:val="0"/>
          <w:sz w:val="24"/>
          <w:szCs w:val="24"/>
        </w:rPr>
        <w:t>保险情况</w:t>
      </w:r>
    </w:p>
    <w:p w14:paraId="3A963785">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十七、</w:t>
      </w:r>
      <w:r>
        <w:rPr>
          <w:rFonts w:hint="eastAsia" w:ascii="黑体" w:hAnsi="宋体" w:eastAsia="黑体"/>
          <w:bCs/>
          <w:kern w:val="0"/>
          <w:sz w:val="24"/>
          <w:szCs w:val="24"/>
        </w:rPr>
        <w:t>拟安排的项目负责人情况（仅限1人）</w:t>
      </w:r>
    </w:p>
    <w:p w14:paraId="07CC67C4">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十八、</w:t>
      </w:r>
      <w:r>
        <w:rPr>
          <w:rFonts w:hint="eastAsia" w:ascii="黑体" w:hAnsi="宋体" w:eastAsia="黑体"/>
          <w:bCs/>
          <w:kern w:val="0"/>
          <w:sz w:val="24"/>
          <w:szCs w:val="24"/>
        </w:rPr>
        <w:t>拟安排的项目主要团队成员（主要技术人员）情况（项目负责人除外）</w:t>
      </w:r>
    </w:p>
    <w:p w14:paraId="3DE18851">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十九、</w:t>
      </w:r>
      <w:r>
        <w:rPr>
          <w:rFonts w:hint="eastAsia" w:ascii="黑体" w:hAnsi="宋体" w:eastAsia="黑体"/>
          <w:bCs/>
          <w:kern w:val="0"/>
          <w:sz w:val="24"/>
          <w:szCs w:val="24"/>
        </w:rPr>
        <w:t>拟投入本项目的车辆情况</w:t>
      </w:r>
    </w:p>
    <w:p w14:paraId="7216643D">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二十、</w:t>
      </w:r>
      <w:r>
        <w:rPr>
          <w:rFonts w:hint="eastAsia" w:ascii="黑体" w:hAnsi="宋体" w:eastAsia="黑体"/>
          <w:bCs/>
          <w:kern w:val="0"/>
          <w:sz w:val="24"/>
          <w:szCs w:val="24"/>
        </w:rPr>
        <w:t>拟投入本项目的配送场地情况</w:t>
      </w:r>
    </w:p>
    <w:p w14:paraId="3D1997DA">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二十一、</w:t>
      </w:r>
      <w:r>
        <w:rPr>
          <w:rFonts w:hint="eastAsia" w:ascii="黑体" w:hAnsi="宋体" w:eastAsia="黑体"/>
          <w:bCs/>
          <w:kern w:val="0"/>
          <w:sz w:val="24"/>
          <w:szCs w:val="24"/>
        </w:rPr>
        <w:t>拟投入本项目的冷库情况</w:t>
      </w:r>
    </w:p>
    <w:p w14:paraId="7F0829AB">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二十二、</w:t>
      </w:r>
      <w:r>
        <w:rPr>
          <w:rFonts w:hint="eastAsia" w:ascii="黑体" w:hAnsi="宋体" w:eastAsia="黑体"/>
          <w:bCs/>
          <w:kern w:val="0"/>
          <w:sz w:val="24"/>
          <w:szCs w:val="24"/>
        </w:rPr>
        <w:t>食品安全检测能力</w:t>
      </w:r>
    </w:p>
    <w:p w14:paraId="5AA6C955">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二十三、</w:t>
      </w:r>
      <w:r>
        <w:rPr>
          <w:rFonts w:hint="eastAsia" w:ascii="黑体" w:hAnsi="宋体" w:eastAsia="黑体"/>
          <w:bCs/>
          <w:kern w:val="0"/>
          <w:sz w:val="24"/>
          <w:szCs w:val="24"/>
        </w:rPr>
        <w:t>供应商认证情况</w:t>
      </w:r>
    </w:p>
    <w:p w14:paraId="3832E6CC">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二十四、</w:t>
      </w:r>
      <w:r>
        <w:rPr>
          <w:rFonts w:hint="eastAsia" w:ascii="黑体" w:hAnsi="宋体" w:eastAsia="黑体"/>
          <w:bCs/>
          <w:kern w:val="0"/>
          <w:sz w:val="24"/>
          <w:szCs w:val="24"/>
        </w:rPr>
        <w:t>供应商同类项目业绩情况</w:t>
      </w:r>
    </w:p>
    <w:p w14:paraId="6334269B">
      <w:pPr>
        <w:spacing w:line="360" w:lineRule="auto"/>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二十五、</w:t>
      </w:r>
      <w:r>
        <w:rPr>
          <w:rFonts w:hint="eastAsia" w:ascii="黑体" w:hAnsi="宋体" w:eastAsia="黑体"/>
          <w:bCs/>
          <w:kern w:val="0"/>
          <w:sz w:val="24"/>
          <w:szCs w:val="24"/>
        </w:rPr>
        <w:t>服务网点</w:t>
      </w:r>
    </w:p>
    <w:p w14:paraId="607939AB">
      <w:pPr>
        <w:spacing w:line="360" w:lineRule="auto"/>
        <w:jc w:val="center"/>
        <w:rPr>
          <w:rFonts w:ascii="黑体" w:hAnsi="宋体" w:eastAsia="黑体"/>
          <w:bCs/>
          <w:kern w:val="0"/>
          <w:sz w:val="24"/>
          <w:szCs w:val="24"/>
        </w:rPr>
      </w:pPr>
      <w:r>
        <w:rPr>
          <w:rFonts w:hint="eastAsia" w:ascii="黑体" w:hAnsi="宋体" w:eastAsia="黑体"/>
          <w:bCs/>
          <w:kern w:val="0"/>
          <w:sz w:val="24"/>
          <w:szCs w:val="24"/>
          <w:lang w:val="en-US" w:eastAsia="zh-CN"/>
        </w:rPr>
        <w:t>二十六、</w:t>
      </w:r>
      <w:r>
        <w:rPr>
          <w:rFonts w:hint="eastAsia" w:ascii="黑体" w:hAnsi="宋体" w:eastAsia="黑体"/>
          <w:bCs/>
          <w:kern w:val="0"/>
          <w:sz w:val="24"/>
          <w:szCs w:val="24"/>
        </w:rPr>
        <w:t>诚信评审</w:t>
      </w:r>
    </w:p>
    <w:p w14:paraId="6D1D1832">
      <w:pPr>
        <w:spacing w:line="360" w:lineRule="auto"/>
        <w:jc w:val="center"/>
        <w:rPr>
          <w:rFonts w:ascii="宋体" w:hAnsi="宋体"/>
          <w:b/>
          <w:bCs/>
          <w:kern w:val="0"/>
          <w:sz w:val="24"/>
          <w:szCs w:val="20"/>
        </w:rPr>
      </w:pPr>
      <w:r>
        <w:rPr>
          <w:rFonts w:hint="eastAsia" w:ascii="黑体" w:hAnsi="宋体" w:eastAsia="黑体"/>
          <w:bCs/>
          <w:kern w:val="0"/>
          <w:sz w:val="24"/>
          <w:szCs w:val="24"/>
        </w:rPr>
        <w:t>二十</w:t>
      </w:r>
      <w:r>
        <w:rPr>
          <w:rFonts w:hint="eastAsia" w:ascii="黑体" w:hAnsi="宋体" w:eastAsia="黑体"/>
          <w:bCs/>
          <w:kern w:val="0"/>
          <w:sz w:val="24"/>
          <w:szCs w:val="24"/>
          <w:lang w:val="en-US" w:eastAsia="zh-CN"/>
        </w:rPr>
        <w:t>七</w:t>
      </w:r>
      <w:r>
        <w:rPr>
          <w:rFonts w:hint="eastAsia" w:ascii="黑体" w:hAnsi="宋体" w:eastAsia="黑体"/>
          <w:bCs/>
          <w:kern w:val="0"/>
          <w:sz w:val="24"/>
          <w:szCs w:val="24"/>
        </w:rPr>
        <w:t>、招标文件要求的其它内容或投标人认为需要补充的资料（格式自定）</w:t>
      </w:r>
      <w:r>
        <w:rPr>
          <w:rFonts w:ascii="宋体" w:hAnsi="宋体"/>
          <w:b/>
          <w:bCs/>
          <w:kern w:val="0"/>
          <w:sz w:val="24"/>
          <w:szCs w:val="20"/>
        </w:rPr>
        <w:br w:type="page"/>
      </w:r>
    </w:p>
    <w:p w14:paraId="08A4BF95">
      <w:pPr>
        <w:jc w:val="center"/>
        <w:rPr>
          <w:rFonts w:ascii="宋体" w:hAnsi="宋体"/>
          <w:b/>
          <w:bCs/>
          <w:kern w:val="0"/>
          <w:sz w:val="24"/>
          <w:szCs w:val="20"/>
        </w:rPr>
      </w:pPr>
      <w:r>
        <w:rPr>
          <w:rFonts w:hint="eastAsia" w:ascii="宋体" w:hAnsi="宋体"/>
          <w:b/>
          <w:bCs/>
          <w:kern w:val="0"/>
          <w:sz w:val="24"/>
          <w:szCs w:val="20"/>
        </w:rPr>
        <w:t>第四章  合同及履约情况反馈格式</w:t>
      </w:r>
    </w:p>
    <w:p w14:paraId="4082F1A6">
      <w:pPr>
        <w:ind w:firstLine="411" w:firstLineChars="196"/>
        <w:rPr>
          <w:rFonts w:ascii="Times New Roman" w:hAnsi="Times New Roman"/>
          <w:szCs w:val="24"/>
        </w:rPr>
      </w:pPr>
    </w:p>
    <w:p w14:paraId="2699D043">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一、合同条款及格式（</w:t>
      </w:r>
      <w:r>
        <w:rPr>
          <w:rFonts w:hint="eastAsia" w:ascii="黑体" w:eastAsia="黑体"/>
          <w:kern w:val="0"/>
          <w:sz w:val="24"/>
          <w:szCs w:val="24"/>
        </w:rPr>
        <w:t>仅供参考</w:t>
      </w:r>
      <w:r>
        <w:rPr>
          <w:rFonts w:hint="eastAsia" w:ascii="黑体" w:hAnsi="宋体" w:eastAsia="黑体"/>
          <w:bCs/>
          <w:kern w:val="0"/>
          <w:sz w:val="24"/>
          <w:szCs w:val="24"/>
        </w:rPr>
        <w:t>）</w:t>
      </w:r>
    </w:p>
    <w:p w14:paraId="6A2FBE04">
      <w:pPr>
        <w:ind w:firstLine="470" w:firstLineChars="196"/>
        <w:jc w:val="center"/>
        <w:rPr>
          <w:rFonts w:ascii="Times New Roman" w:hAnsi="Times New Roman"/>
          <w:sz w:val="24"/>
          <w:szCs w:val="24"/>
        </w:rPr>
      </w:pPr>
      <w:bookmarkStart w:id="13" w:name="_Toc100052414"/>
      <w:bookmarkStart w:id="14" w:name="_Toc73521592"/>
      <w:bookmarkStart w:id="15" w:name="_Toc73518163"/>
      <w:bookmarkStart w:id="16" w:name="_Toc73521680"/>
      <w:bookmarkStart w:id="17" w:name="_Toc84303603"/>
      <w:bookmarkStart w:id="18" w:name="_Toc101074886"/>
      <w:bookmarkStart w:id="19" w:name="_Toc73517685"/>
    </w:p>
    <w:p w14:paraId="6C40AEAB">
      <w:pPr>
        <w:ind w:firstLine="470" w:firstLineChars="196"/>
        <w:jc w:val="center"/>
        <w:rPr>
          <w:rFonts w:ascii="Times New Roman" w:hAnsi="Times New Roman"/>
          <w:sz w:val="24"/>
          <w:szCs w:val="24"/>
        </w:rPr>
      </w:pPr>
    </w:p>
    <w:bookmarkEnd w:id="13"/>
    <w:bookmarkEnd w:id="14"/>
    <w:bookmarkEnd w:id="15"/>
    <w:bookmarkEnd w:id="16"/>
    <w:bookmarkEnd w:id="17"/>
    <w:bookmarkEnd w:id="18"/>
    <w:bookmarkEnd w:id="19"/>
    <w:p w14:paraId="0B6D7CE1">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6480B89C">
      <w:pPr>
        <w:pStyle w:val="23"/>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2E73DEF9">
      <w:pPr>
        <w:jc w:val="right"/>
        <w:rPr>
          <w:rFonts w:ascii="宋体" w:hAnsi="宋体" w:cs="宋体"/>
          <w:color w:val="000000"/>
          <w:sz w:val="28"/>
          <w:szCs w:val="28"/>
        </w:rPr>
      </w:pPr>
      <w:r>
        <w:rPr>
          <w:rFonts w:hint="eastAsia" w:ascii="宋体" w:hAnsi="宋体" w:cs="宋体"/>
          <w:color w:val="000000"/>
          <w:sz w:val="28"/>
          <w:szCs w:val="28"/>
        </w:rPr>
        <w:t>合同编号：</w:t>
      </w:r>
    </w:p>
    <w:p w14:paraId="03307D75">
      <w:pPr>
        <w:jc w:val="right"/>
        <w:rPr>
          <w:rFonts w:ascii="宋体" w:hAnsi="宋体" w:cs="宋体"/>
          <w:color w:val="000000"/>
          <w:sz w:val="32"/>
          <w:szCs w:val="32"/>
        </w:rPr>
      </w:pPr>
    </w:p>
    <w:p w14:paraId="61152D05">
      <w:pPr>
        <w:jc w:val="center"/>
        <w:rPr>
          <w:rFonts w:ascii="宋体" w:hAnsi="宋体" w:cs="宋体"/>
          <w:color w:val="000000"/>
          <w:sz w:val="44"/>
          <w:szCs w:val="44"/>
        </w:rPr>
      </w:pPr>
      <w:r>
        <w:rPr>
          <w:rFonts w:hint="eastAsia" w:ascii="宋体" w:hAnsi="宋体" w:cs="宋体"/>
          <w:color w:val="000000"/>
          <w:sz w:val="44"/>
          <w:szCs w:val="44"/>
        </w:rPr>
        <w:t>农轩100大院食堂食材配送服务合同</w:t>
      </w:r>
    </w:p>
    <w:p w14:paraId="507F33F7">
      <w:pPr>
        <w:jc w:val="center"/>
        <w:rPr>
          <w:rFonts w:ascii="宋体" w:hAnsi="宋体" w:cs="宋体"/>
          <w:color w:val="000000"/>
          <w:sz w:val="32"/>
          <w:szCs w:val="32"/>
        </w:rPr>
      </w:pPr>
      <w:r>
        <w:rPr>
          <w:rFonts w:hint="eastAsia" w:ascii="宋体" w:hAnsi="宋体" w:cs="宋体"/>
          <w:color w:val="000000"/>
          <w:sz w:val="32"/>
          <w:szCs w:val="32"/>
        </w:rPr>
        <w:t>（202X年）</w:t>
      </w:r>
    </w:p>
    <w:p w14:paraId="16599371">
      <w:pPr>
        <w:rPr>
          <w:rFonts w:ascii="宋体" w:hAnsi="宋体" w:cs="宋体"/>
          <w:b/>
          <w:color w:val="000000"/>
          <w:sz w:val="28"/>
          <w:szCs w:val="28"/>
        </w:rPr>
      </w:pPr>
    </w:p>
    <w:p w14:paraId="294439EA">
      <w:pPr>
        <w:spacing w:line="360" w:lineRule="auto"/>
        <w:jc w:val="left"/>
        <w:rPr>
          <w:rFonts w:ascii="宋体" w:hAnsi="宋体" w:cs="宋体"/>
          <w:b/>
          <w:bCs/>
          <w:szCs w:val="21"/>
        </w:rPr>
      </w:pPr>
      <w:r>
        <w:rPr>
          <w:rFonts w:hint="eastAsia" w:ascii="宋体" w:hAnsi="宋体" w:cs="宋体"/>
          <w:b/>
          <w:bCs/>
          <w:szCs w:val="21"/>
        </w:rPr>
        <w:t>甲方（采购人）：</w:t>
      </w:r>
    </w:p>
    <w:p w14:paraId="58BA28EB">
      <w:pPr>
        <w:spacing w:line="360" w:lineRule="auto"/>
        <w:jc w:val="left"/>
        <w:rPr>
          <w:rFonts w:ascii="宋体" w:hAnsi="宋体" w:cs="宋体"/>
          <w:szCs w:val="21"/>
        </w:rPr>
      </w:pPr>
      <w:r>
        <w:rPr>
          <w:rFonts w:hint="eastAsia" w:ascii="宋体" w:hAnsi="宋体" w:cs="宋体"/>
          <w:szCs w:val="21"/>
        </w:rPr>
        <w:t>地址：</w:t>
      </w:r>
    </w:p>
    <w:p w14:paraId="332B9174">
      <w:pPr>
        <w:spacing w:line="360" w:lineRule="auto"/>
        <w:jc w:val="left"/>
        <w:rPr>
          <w:rFonts w:ascii="宋体" w:hAnsi="宋体" w:cs="宋体"/>
          <w:szCs w:val="21"/>
        </w:rPr>
      </w:pPr>
      <w:r>
        <w:rPr>
          <w:rFonts w:hint="eastAsia" w:ascii="宋体" w:hAnsi="宋体" w:cs="宋体"/>
          <w:szCs w:val="21"/>
        </w:rPr>
        <w:t>联系人：</w:t>
      </w:r>
    </w:p>
    <w:p w14:paraId="18EE8962">
      <w:pPr>
        <w:spacing w:line="360" w:lineRule="auto"/>
        <w:jc w:val="left"/>
        <w:rPr>
          <w:rFonts w:ascii="宋体" w:hAnsi="宋体" w:cs="宋体"/>
          <w:szCs w:val="21"/>
        </w:rPr>
      </w:pPr>
      <w:r>
        <w:rPr>
          <w:rFonts w:hint="eastAsia" w:ascii="宋体" w:hAnsi="宋体" w:cs="宋体"/>
          <w:szCs w:val="21"/>
        </w:rPr>
        <w:t>联系电话：</w:t>
      </w:r>
    </w:p>
    <w:p w14:paraId="5A4B8339">
      <w:pPr>
        <w:spacing w:line="360" w:lineRule="auto"/>
        <w:rPr>
          <w:rFonts w:ascii="宋体" w:hAnsi="宋体" w:cs="宋体"/>
          <w:b/>
          <w:bCs/>
          <w:szCs w:val="21"/>
        </w:rPr>
      </w:pPr>
      <w:r>
        <w:rPr>
          <w:rFonts w:hint="eastAsia" w:ascii="宋体" w:hAnsi="宋体" w:cs="宋体"/>
          <w:b/>
          <w:bCs/>
          <w:szCs w:val="21"/>
        </w:rPr>
        <w:t>乙方（供应商）：</w:t>
      </w:r>
    </w:p>
    <w:p w14:paraId="646641A0">
      <w:pPr>
        <w:spacing w:line="360" w:lineRule="auto"/>
        <w:jc w:val="left"/>
        <w:rPr>
          <w:rFonts w:ascii="宋体" w:hAnsi="宋体" w:cs="宋体"/>
          <w:szCs w:val="21"/>
        </w:rPr>
      </w:pPr>
      <w:r>
        <w:rPr>
          <w:rFonts w:hint="eastAsia" w:ascii="宋体" w:hAnsi="宋体" w:cs="宋体"/>
          <w:szCs w:val="21"/>
        </w:rPr>
        <w:t>地址：</w:t>
      </w:r>
    </w:p>
    <w:p w14:paraId="5B2F8F24">
      <w:pPr>
        <w:spacing w:line="360" w:lineRule="auto"/>
        <w:jc w:val="left"/>
        <w:rPr>
          <w:rFonts w:ascii="宋体" w:hAnsi="宋体" w:cs="宋体"/>
          <w:szCs w:val="21"/>
        </w:rPr>
      </w:pPr>
      <w:r>
        <w:rPr>
          <w:rFonts w:hint="eastAsia" w:ascii="宋体" w:hAnsi="宋体" w:cs="宋体"/>
          <w:szCs w:val="21"/>
        </w:rPr>
        <w:t>联系人：</w:t>
      </w:r>
    </w:p>
    <w:p w14:paraId="6A7E89AC">
      <w:pPr>
        <w:spacing w:line="360" w:lineRule="auto"/>
        <w:jc w:val="left"/>
        <w:rPr>
          <w:rFonts w:ascii="宋体" w:hAnsi="宋体" w:cs="宋体"/>
          <w:szCs w:val="21"/>
        </w:rPr>
      </w:pPr>
      <w:r>
        <w:rPr>
          <w:rFonts w:hint="eastAsia" w:ascii="宋体" w:hAnsi="宋体" w:cs="宋体"/>
          <w:szCs w:val="21"/>
        </w:rPr>
        <w:t>联系电话：</w:t>
      </w:r>
    </w:p>
    <w:p w14:paraId="0A7C2C3F">
      <w:pPr>
        <w:spacing w:line="360" w:lineRule="auto"/>
        <w:ind w:firstLine="420" w:firstLineChars="200"/>
        <w:jc w:val="left"/>
        <w:rPr>
          <w:rFonts w:ascii="宋体" w:hAnsi="宋体" w:cs="宋体"/>
          <w:bCs/>
          <w:szCs w:val="21"/>
        </w:rPr>
      </w:pPr>
    </w:p>
    <w:p w14:paraId="0D43D860">
      <w:pPr>
        <w:spacing w:line="360" w:lineRule="auto"/>
        <w:ind w:firstLine="420" w:firstLineChars="200"/>
        <w:jc w:val="left"/>
        <w:rPr>
          <w:rFonts w:ascii="宋体" w:hAnsi="宋体" w:cs="宋体"/>
          <w:bCs/>
          <w:szCs w:val="21"/>
        </w:rPr>
      </w:pPr>
      <w:r>
        <w:rPr>
          <w:rFonts w:hint="eastAsia" w:ascii="宋体" w:hAnsi="宋体" w:cs="宋体"/>
          <w:bCs/>
          <w:szCs w:val="21"/>
        </w:rPr>
        <w:t>根据《中华人民共和国民法典》和《深圳经济特区政府采购条例》，经采购人（以下简称甲方）和（以下简称乙方）协商一致，就甲方委托乙方承担</w:t>
      </w:r>
      <w:r>
        <w:rPr>
          <w:rFonts w:hint="eastAsia" w:ascii="宋体" w:hAnsi="宋体" w:cs="宋体"/>
          <w:szCs w:val="21"/>
        </w:rPr>
        <w:t>食堂食材物品配送</w:t>
      </w:r>
      <w:r>
        <w:rPr>
          <w:rFonts w:hint="eastAsia" w:ascii="宋体" w:hAnsi="宋体" w:cs="宋体"/>
          <w:bCs/>
          <w:szCs w:val="21"/>
        </w:rPr>
        <w:t>服务，达成以下协议：</w:t>
      </w:r>
    </w:p>
    <w:p w14:paraId="0A553F1F">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一、服务内容</w:t>
      </w:r>
    </w:p>
    <w:p w14:paraId="59CCC6F3">
      <w:pPr>
        <w:spacing w:line="360" w:lineRule="auto"/>
        <w:ind w:firstLine="420" w:firstLineChars="200"/>
        <w:jc w:val="left"/>
        <w:rPr>
          <w:rFonts w:ascii="宋体" w:hAnsi="宋体" w:cs="宋体"/>
          <w:szCs w:val="21"/>
        </w:rPr>
      </w:pPr>
      <w:r>
        <w:rPr>
          <w:rFonts w:hint="eastAsia" w:ascii="宋体" w:hAnsi="宋体" w:cs="宋体"/>
          <w:szCs w:val="21"/>
        </w:rPr>
        <w:t>按照招投标文件约定，乙方根据甲方采购需求，提供肉蛋、水果、蔬菜类、活鲜水产类、冰鲜水产类、冻品类、干货类、饮料类、粮油类、调味品类、豆制品类、腌制品类、乳制品类、面制品类等的采购和配送服务。</w:t>
      </w:r>
    </w:p>
    <w:p w14:paraId="4CBECDD4">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二、服务期限</w:t>
      </w:r>
    </w:p>
    <w:p w14:paraId="28436BF7">
      <w:pPr>
        <w:spacing w:line="360" w:lineRule="auto"/>
        <w:ind w:firstLine="420"/>
        <w:rPr>
          <w:rFonts w:ascii="宋体" w:hAnsi="宋体" w:cs="宋体"/>
          <w:szCs w:val="21"/>
        </w:rPr>
      </w:pPr>
      <w:r>
        <w:rPr>
          <w:rFonts w:hint="eastAsia" w:ascii="宋体" w:hAnsi="宋体" w:cs="宋体"/>
          <w:szCs w:val="21"/>
        </w:rPr>
        <w:t>合同期限壹年，自</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  月  日</w:t>
      </w:r>
      <w:r>
        <w:rPr>
          <w:rFonts w:hint="eastAsia" w:ascii="宋体" w:hAnsi="宋体" w:cs="宋体"/>
          <w:szCs w:val="21"/>
        </w:rPr>
        <w:t>起至</w:t>
      </w:r>
      <w:r>
        <w:rPr>
          <w:rFonts w:hint="eastAsia" w:ascii="宋体" w:hAnsi="宋体" w:cs="宋体"/>
          <w:szCs w:val="21"/>
          <w:u w:val="single"/>
        </w:rPr>
        <w:t>2025年  月  日</w:t>
      </w:r>
      <w:r>
        <w:rPr>
          <w:rFonts w:hint="eastAsia" w:ascii="宋体" w:hAnsi="宋体" w:cs="宋体"/>
          <w:szCs w:val="21"/>
        </w:rPr>
        <w:t>止。本次合同期限届满前30日，甲方对乙方合同期内履约情况进行考核评价，履约考核合格的，经双方协商一致可续签合同壹年（含本次签订合同期限，配送服务期限最长不超过三十六个月）。</w:t>
      </w:r>
    </w:p>
    <w:p w14:paraId="5FFC0C35">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三、配送时间地点</w:t>
      </w:r>
    </w:p>
    <w:p w14:paraId="6D260F77">
      <w:pPr>
        <w:adjustRightInd w:val="0"/>
        <w:snapToGrid w:val="0"/>
        <w:spacing w:line="360" w:lineRule="auto"/>
        <w:ind w:firstLine="420" w:firstLineChars="200"/>
        <w:rPr>
          <w:rFonts w:ascii="宋体" w:hAnsi="宋体" w:cs="宋体"/>
          <w:szCs w:val="21"/>
        </w:rPr>
      </w:pPr>
      <w:r>
        <w:rPr>
          <w:rFonts w:hint="eastAsia" w:ascii="宋体" w:hAnsi="宋体" w:cs="宋体"/>
          <w:szCs w:val="21"/>
        </w:rPr>
        <w:t>配送地点为农轩100大院5楼食堂，配送时间为上午6：00前送达。甲乙双方对配送地点、时间因特殊情况需要变更的，以商定内容为准。</w:t>
      </w:r>
    </w:p>
    <w:p w14:paraId="0DF687CB">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四、定价与结算</w:t>
      </w:r>
    </w:p>
    <w:p w14:paraId="6AA5D01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（一）本服务中标折扣率为</w:t>
      </w:r>
      <w:r>
        <w:rPr>
          <w:rFonts w:hint="eastAsia" w:ascii="宋体" w:hAnsi="宋体" w:cs="宋体"/>
          <w:szCs w:val="21"/>
          <w:u w:val="single"/>
        </w:rPr>
        <w:t>XX</w:t>
      </w:r>
      <w:r>
        <w:rPr>
          <w:rFonts w:hint="eastAsia" w:ascii="宋体" w:hAnsi="宋体" w:cs="宋体"/>
          <w:szCs w:val="21"/>
        </w:rPr>
        <w:t>。费用结算时，</w:t>
      </w:r>
      <w:r>
        <w:rPr>
          <w:rFonts w:hint="eastAsia" w:ascii="宋体" w:hAnsi="宋体" w:cs="宋体"/>
          <w:szCs w:val="21"/>
          <w:u w:val="single"/>
        </w:rPr>
        <w:t>结算价格=基准价×折扣率</w:t>
      </w:r>
      <w:r>
        <w:rPr>
          <w:rFonts w:hint="eastAsia" w:ascii="宋体" w:hAnsi="宋体" w:cs="宋体"/>
          <w:szCs w:val="21"/>
        </w:rPr>
        <w:t xml:space="preserve">。 </w:t>
      </w:r>
    </w:p>
    <w:p w14:paraId="0C75473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1.基准价即中农参考价（不含费），以中农数据食堂采配平台（网址：www.znttcp.com）上个月5、15、25号公布的粗加工后的价格（即精品价）取平均值。</w:t>
      </w:r>
    </w:p>
    <w:p w14:paraId="60759221">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2.中农数据食堂采配平台中无价格产品，结算时价格=市场价*折扣率。（由采购人和中标人组成价格调查小组，到周边大型商超（沃尔玛、天虹、华润万家等）或周边大型农贸批发市场等现场调研决定）。</w:t>
      </w:r>
    </w:p>
    <w:p w14:paraId="2F43F18D">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3.投标总价（折扣率）为全包价，包括供应产品和产品运输到甲方的粗加工费、服务费、检测费、人工费、管理费、税金等一切可能发生的费用。</w:t>
      </w:r>
    </w:p>
    <w:p w14:paraId="4DF54ACD">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（二）合同期内食材采购金额上限为</w:t>
      </w:r>
      <w:r>
        <w:rPr>
          <w:rFonts w:hint="eastAsia" w:ascii="宋体" w:hAnsi="宋体" w:cs="宋体"/>
          <w:szCs w:val="21"/>
          <w:u w:val="single"/>
        </w:rPr>
        <w:t>人民币331.1万元</w:t>
      </w:r>
      <w:r>
        <w:rPr>
          <w:rFonts w:hint="eastAsia" w:ascii="宋体" w:hAnsi="宋体" w:cs="宋体"/>
          <w:szCs w:val="21"/>
        </w:rPr>
        <w:t>，具体费用以实际结算为准。</w:t>
      </w:r>
    </w:p>
    <w:p w14:paraId="3A45CCDB">
      <w:pPr>
        <w:adjustRightInd w:val="0"/>
        <w:snapToGrid w:val="0"/>
        <w:spacing w:line="360" w:lineRule="auto"/>
        <w:ind w:firstLine="420" w:firstLineChars="200"/>
        <w:rPr>
          <w:rFonts w:ascii="宋体" w:hAnsi="宋体" w:cs="宋体"/>
          <w:szCs w:val="21"/>
        </w:rPr>
      </w:pPr>
      <w:r>
        <w:rPr>
          <w:rFonts w:hint="eastAsia" w:ascii="宋体" w:hAnsi="宋体" w:cs="宋体"/>
          <w:bCs/>
          <w:szCs w:val="21"/>
        </w:rPr>
        <w:t>（三）费用结算按月进行。双方凭采购合同、送货单及签收确认单等资料于次月20日前核对结算上月款项。支付费用前乙方需按照双方约定的价格计算方式和确定的品种、数量开具正式发票。</w:t>
      </w:r>
    </w:p>
    <w:p w14:paraId="288FE09F">
      <w:pPr>
        <w:adjustRightInd w:val="0"/>
        <w:snapToGrid w:val="0"/>
        <w:spacing w:line="360" w:lineRule="auto"/>
        <w:ind w:firstLine="420" w:firstLineChars="200"/>
        <w:rPr>
          <w:rFonts w:ascii="宋体" w:hAnsi="宋体" w:cs="宋体"/>
          <w:szCs w:val="21"/>
        </w:rPr>
      </w:pPr>
      <w:r>
        <w:rPr>
          <w:rFonts w:hint="eastAsia" w:ascii="宋体" w:hAnsi="宋体" w:cs="宋体"/>
          <w:bCs/>
          <w:szCs w:val="21"/>
        </w:rPr>
        <w:t>（四）付</w:t>
      </w:r>
      <w:r>
        <w:rPr>
          <w:rFonts w:hint="eastAsia" w:ascii="宋体" w:hAnsi="宋体" w:cs="宋体"/>
          <w:szCs w:val="21"/>
        </w:rPr>
        <w:t>款方式：甲方收到发票后10个工作日内按照国库集资支付制度和程序以银行转帐的方式直接划转至乙方名下的银行账户。乙方开户信息如下：</w:t>
      </w:r>
    </w:p>
    <w:p w14:paraId="6D14652C">
      <w:pPr>
        <w:adjustRightInd w:val="0"/>
        <w:snapToGrid w:val="0"/>
        <w:spacing w:line="360" w:lineRule="auto"/>
        <w:ind w:firstLine="420" w:firstLineChars="200"/>
        <w:rPr>
          <w:rFonts w:ascii="宋体" w:hAnsi="宋体" w:cs="宋体"/>
          <w:szCs w:val="21"/>
        </w:rPr>
      </w:pPr>
      <w:r>
        <w:rPr>
          <w:rFonts w:hint="eastAsia" w:ascii="宋体" w:hAnsi="宋体" w:cs="宋体"/>
          <w:szCs w:val="21"/>
        </w:rPr>
        <w:t>开户名称：</w:t>
      </w:r>
    </w:p>
    <w:p w14:paraId="249AFB06">
      <w:pPr>
        <w:adjustRightInd w:val="0"/>
        <w:snapToGrid w:val="0"/>
        <w:spacing w:line="360" w:lineRule="auto"/>
        <w:ind w:firstLine="420" w:firstLineChars="200"/>
        <w:rPr>
          <w:rFonts w:ascii="宋体" w:hAnsi="宋体" w:cs="宋体"/>
          <w:szCs w:val="21"/>
        </w:rPr>
      </w:pPr>
      <w:r>
        <w:rPr>
          <w:rFonts w:hint="eastAsia" w:ascii="宋体" w:hAnsi="宋体" w:cs="宋体"/>
          <w:szCs w:val="21"/>
        </w:rPr>
        <w:t>开户行：</w:t>
      </w:r>
    </w:p>
    <w:p w14:paraId="7BC19CFA">
      <w:pPr>
        <w:adjustRightInd w:val="0"/>
        <w:snapToGrid w:val="0"/>
        <w:spacing w:line="360" w:lineRule="auto"/>
        <w:ind w:firstLine="420" w:firstLineChars="200"/>
        <w:rPr>
          <w:rFonts w:ascii="宋体" w:hAnsi="宋体" w:cs="宋体"/>
          <w:szCs w:val="21"/>
        </w:rPr>
      </w:pPr>
      <w:r>
        <w:rPr>
          <w:rFonts w:hint="eastAsia" w:ascii="宋体" w:hAnsi="宋体" w:cs="宋体"/>
          <w:szCs w:val="21"/>
        </w:rPr>
        <w:t>开户账号：</w:t>
      </w:r>
    </w:p>
    <w:p w14:paraId="277CBD2C">
      <w:pPr>
        <w:adjustRightInd w:val="0"/>
        <w:snapToGrid w:val="0"/>
        <w:spacing w:line="360" w:lineRule="auto"/>
        <w:ind w:firstLine="420" w:firstLineChars="200"/>
        <w:rPr>
          <w:rFonts w:ascii="宋体" w:hAnsi="宋体" w:cs="宋体"/>
          <w:szCs w:val="21"/>
        </w:rPr>
      </w:pPr>
      <w:r>
        <w:rPr>
          <w:rFonts w:hint="eastAsia" w:ascii="宋体" w:hAnsi="宋体" w:cs="宋体"/>
          <w:szCs w:val="21"/>
        </w:rPr>
        <w:t>甲方按照相关程序提交财政支付申办手续即视为已履行支付义务，如因政府有关部门超期审批等原因造成甲方迟延付款的，不视为甲方违约。</w:t>
      </w:r>
    </w:p>
    <w:p w14:paraId="4645862B">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五、食材配送要求</w:t>
      </w:r>
    </w:p>
    <w:p w14:paraId="51037FF8">
      <w:pPr>
        <w:adjustRightInd w:val="0"/>
        <w:snapToGrid w:val="0"/>
        <w:spacing w:line="360" w:lineRule="auto"/>
        <w:ind w:firstLine="420" w:firstLineChars="200"/>
        <w:rPr>
          <w:rFonts w:ascii="宋体" w:hAnsi="宋体" w:cs="宋体"/>
          <w:szCs w:val="21"/>
        </w:rPr>
      </w:pPr>
      <w:r>
        <w:rPr>
          <w:rFonts w:hint="eastAsia" w:ascii="宋体" w:hAnsi="宋体" w:cs="宋体"/>
          <w:szCs w:val="21"/>
        </w:rPr>
        <w:t>（一）乙方配送的食材必须符合国家卫生标准，并且保证质量，不得有腐烂、变质情况。</w:t>
      </w:r>
    </w:p>
    <w:p w14:paraId="649DED4D">
      <w:pPr>
        <w:adjustRightInd w:val="0"/>
        <w:snapToGrid w:val="0"/>
        <w:spacing w:line="360" w:lineRule="auto"/>
        <w:ind w:firstLine="420" w:firstLineChars="200"/>
        <w:rPr>
          <w:rFonts w:ascii="宋体" w:hAnsi="宋体" w:cs="宋体"/>
          <w:szCs w:val="21"/>
        </w:rPr>
      </w:pPr>
      <w:r>
        <w:rPr>
          <w:rFonts w:hint="eastAsia" w:ascii="宋体" w:hAnsi="宋体" w:cs="宋体"/>
          <w:szCs w:val="21"/>
        </w:rPr>
        <w:t>（二）所送货品有保质期的不得超过保质期的1/3，要求包装完整、无外漏。甲方对不符合质量要求的货品可作退货或换货处理，并追究乙方相关责任。凡属于质量问题必须包退包换，退补货品需在1小时内补给，不能影响甲方正常供餐。</w:t>
      </w:r>
    </w:p>
    <w:p w14:paraId="147DA639">
      <w:pPr>
        <w:adjustRightInd w:val="0"/>
        <w:snapToGrid w:val="0"/>
        <w:spacing w:line="360" w:lineRule="auto"/>
        <w:ind w:firstLine="420" w:firstLineChars="200"/>
        <w:rPr>
          <w:rFonts w:ascii="宋体" w:hAnsi="宋体" w:cs="宋体"/>
          <w:szCs w:val="21"/>
        </w:rPr>
      </w:pPr>
      <w:r>
        <w:rPr>
          <w:rFonts w:hint="eastAsia" w:ascii="宋体" w:hAnsi="宋体" w:cs="宋体"/>
          <w:szCs w:val="21"/>
        </w:rPr>
        <w:t>（三）配送食品、食材全部经过国家规定的职能部门检验并有检测报告，安全可靠，从来未出现配送食品安全事故，并出具相关承诺书。若因乙方配送食品、食材导致甲方出现食品安全事故时，乙方必须承担经济与法律上的全部责任。如乙方配送的货物不符合不符合食品安全标准、存在腐烂变质等情况的，除按要求补换货外，第一次提出口头警告并要求供应商做出书面保证，第二次扣除当天货款的5%，一个月内不符合要求达到三次的，甲方可解除合同并要求赔偿相关损失。</w:t>
      </w:r>
    </w:p>
    <w:p w14:paraId="4C36F5D8">
      <w:pPr>
        <w:adjustRightInd w:val="0"/>
        <w:snapToGrid w:val="0"/>
        <w:spacing w:line="360" w:lineRule="auto"/>
        <w:ind w:firstLine="420" w:firstLineChars="200"/>
        <w:rPr>
          <w:rFonts w:ascii="宋体" w:hAnsi="宋体" w:cs="宋体"/>
          <w:szCs w:val="21"/>
        </w:rPr>
      </w:pPr>
      <w:r>
        <w:rPr>
          <w:rFonts w:hint="eastAsia" w:ascii="宋体" w:hAnsi="宋体" w:cs="宋体"/>
          <w:szCs w:val="21"/>
        </w:rPr>
        <w:t>（四）乙方配送的食材数量必须严格执行甲方采购计划，以现场验货数量为准，必须保证配送物品数量准确。</w:t>
      </w:r>
      <w:r>
        <w:rPr>
          <w:rFonts w:hint="eastAsia" w:ascii="宋体" w:hAnsi="宋体" w:cs="宋体"/>
          <w:color w:val="000000"/>
          <w:szCs w:val="21"/>
        </w:rPr>
        <w:t>因客观原因无法采购或者需要更换同类物品的，必须报告并征得甲方同意。</w:t>
      </w:r>
    </w:p>
    <w:p w14:paraId="37D89632">
      <w:pPr>
        <w:adjustRightInd w:val="0"/>
        <w:snapToGrid w:val="0"/>
        <w:spacing w:line="360" w:lineRule="auto"/>
        <w:ind w:firstLine="420" w:firstLineChars="200"/>
        <w:rPr>
          <w:rFonts w:ascii="宋体" w:hAnsi="宋体" w:cs="宋体"/>
          <w:color w:val="0000FF"/>
          <w:szCs w:val="21"/>
        </w:rPr>
      </w:pPr>
      <w:r>
        <w:rPr>
          <w:rFonts w:hint="eastAsia" w:ascii="宋体" w:hAnsi="宋体" w:cs="宋体"/>
          <w:szCs w:val="21"/>
        </w:rPr>
        <w:t>（五）乙方保证全年365天均能送货。乙方必须在每天早上6点前把食材物品按质按量送达指定地点，由双方人员验收核对后入库。超出约定时间30分钟，则将扣除该批货款10%违约处罚。如甲方对货物验收退货的，退补货品需在1小时内补给到位。</w:t>
      </w:r>
    </w:p>
    <w:p w14:paraId="558B787D">
      <w:pPr>
        <w:adjustRightInd w:val="0"/>
        <w:snapToGrid w:val="0"/>
        <w:spacing w:line="360" w:lineRule="auto"/>
        <w:ind w:firstLine="420" w:firstLineChars="200"/>
        <w:rPr>
          <w:rFonts w:ascii="宋体" w:hAnsi="宋体" w:cs="宋体"/>
          <w:szCs w:val="21"/>
        </w:rPr>
      </w:pPr>
      <w:r>
        <w:rPr>
          <w:rFonts w:hint="eastAsia" w:ascii="宋体" w:hAnsi="宋体" w:cs="宋体"/>
          <w:szCs w:val="21"/>
        </w:rPr>
        <w:t>（六）甲方有临时配送紧急情况的，乙方必须无条件进行采购和配送。甲方需提前（一般提前2小时）通知乙方。乙方若有特殊情况，无法按时配送的，需提前告知甲方，并与甲方重新约定配送时间。在告知甲方后，乙方配送到达时间不得超过约定时间1小时，如乙方在规定时间内没有配送到，给甲方带来一切经济后果将由乙方承担。</w:t>
      </w:r>
    </w:p>
    <w:p w14:paraId="61B62233">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六、食材物品验收</w:t>
      </w:r>
    </w:p>
    <w:p w14:paraId="2DCF9151">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（一）所有配送的食材物品均需双方现场验收确认，费用结算以双方现场验货情况为依据。未经甲方验收签字确认的物品，甲方有权拒绝进行结算。</w:t>
      </w:r>
    </w:p>
    <w:p w14:paraId="03F03069">
      <w:pPr>
        <w:tabs>
          <w:tab w:val="left" w:pos="900"/>
        </w:tabs>
        <w:adjustRightInd w:val="0"/>
        <w:snapToGrid w:val="0"/>
        <w:spacing w:line="360" w:lineRule="auto"/>
        <w:ind w:firstLine="420" w:firstLineChars="200"/>
        <w:rPr>
          <w:rFonts w:ascii="宋体" w:hAnsi="宋体" w:cs="宋体"/>
          <w:szCs w:val="21"/>
        </w:rPr>
      </w:pPr>
      <w:r>
        <w:rPr>
          <w:rFonts w:hint="eastAsia" w:ascii="宋体" w:hAnsi="宋体" w:cs="宋体"/>
          <w:szCs w:val="21"/>
        </w:rPr>
        <w:t>（二）乙方应保证所配送食材符合质量要求，食材品种、数量和重量符合双方约定。乙方每次随货送上一式两份的送货清单，供双方验货后签字确认，双方各持一份，作为配送和结算凭证。</w:t>
      </w:r>
    </w:p>
    <w:p w14:paraId="2498AD7D">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（三）甲方和乙方应分别建立配送台账，确定专人负责验收和送货。对于出现质量、数量不符合要求等现象，甲方有权要求乙方及时退换，乙方必须无条件退换，对于当日急需物品应在1小时内补货完毕。</w:t>
      </w:r>
    </w:p>
    <w:p w14:paraId="75922987">
      <w:pPr>
        <w:tabs>
          <w:tab w:val="left" w:pos="900"/>
        </w:tabs>
        <w:adjustRightInd w:val="0"/>
        <w:snapToGrid w:val="0"/>
        <w:spacing w:line="360" w:lineRule="auto"/>
        <w:ind w:firstLine="420" w:firstLineChars="200"/>
        <w:rPr>
          <w:rFonts w:ascii="宋体" w:hAnsi="宋体" w:cs="宋体"/>
          <w:szCs w:val="21"/>
        </w:rPr>
      </w:pPr>
      <w:r>
        <w:rPr>
          <w:rFonts w:hint="eastAsia" w:ascii="宋体" w:hAnsi="宋体" w:cs="宋体"/>
          <w:szCs w:val="21"/>
        </w:rPr>
        <w:t>（四）乙方要确定一名专人跟单办理业务，对接甲方接受采购计划、核对食材物品数量、质量和确定结算金额等，乙方确定或者变更对接联系人员的，需要至少提前一日通知甲方。</w:t>
      </w:r>
    </w:p>
    <w:p w14:paraId="44F09ABF">
      <w:pPr>
        <w:adjustRightInd w:val="0"/>
        <w:snapToGrid w:val="0"/>
        <w:spacing w:line="360" w:lineRule="auto"/>
        <w:ind w:firstLine="422" w:firstLineChars="200"/>
        <w:rPr>
          <w:rFonts w:ascii="宋体" w:hAnsi="宋体" w:cs="宋体"/>
          <w:b/>
          <w:szCs w:val="21"/>
        </w:rPr>
      </w:pPr>
      <w:r>
        <w:rPr>
          <w:rFonts w:hint="eastAsia" w:ascii="宋体" w:hAnsi="宋体" w:cs="宋体"/>
          <w:b/>
          <w:color w:val="000000"/>
          <w:szCs w:val="21"/>
        </w:rPr>
        <w:t>七、甲方的权利与义务</w:t>
      </w:r>
    </w:p>
    <w:p w14:paraId="506A216B">
      <w:pPr>
        <w:adjustRightInd w:val="0"/>
        <w:snapToGrid w:val="0"/>
        <w:spacing w:line="360" w:lineRule="auto"/>
        <w:ind w:firstLine="476" w:firstLineChars="227"/>
        <w:rPr>
          <w:rFonts w:ascii="宋体" w:hAnsi="宋体" w:cs="宋体"/>
          <w:color w:val="000000"/>
          <w:szCs w:val="21"/>
        </w:rPr>
      </w:pPr>
      <w:r>
        <w:rPr>
          <w:rFonts w:hint="eastAsia" w:ascii="宋体" w:hAnsi="宋体" w:cs="宋体"/>
          <w:color w:val="000000"/>
          <w:szCs w:val="21"/>
        </w:rPr>
        <w:t>（一）甲方根据食堂的用餐人数、供餐标准等确定次日食材采购计划，以双方约定的方式于当日下午19时前提交乙方进行采购。临时或紧急配送的，甲方要及时通知乙方采购和配送。</w:t>
      </w:r>
    </w:p>
    <w:p w14:paraId="21E397A4">
      <w:p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（二）甲方有权指定食堂所用食品的品牌、质量、数量。因甲方原因造成原料名称、数量、规格等错误而造成的失误，乙方不承担责任。</w:t>
      </w:r>
    </w:p>
    <w:p w14:paraId="69D3309B">
      <w:p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（三）甲方需派专人到现场对乙方所送食材物品进行验收，并在送货单上签字确认。</w:t>
      </w:r>
    </w:p>
    <w:p w14:paraId="608DC30B">
      <w:p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（四）甲方对不符合规格要求的食品原料等物资，可要求退换或拒收，乙方应无条件接受。</w:t>
      </w:r>
    </w:p>
    <w:p w14:paraId="4FC79FF3">
      <w:p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（五）甲方要及时结算和支付食材费用。甲方已提请支付，因审批流程和银行支付系统原因造成的延误，不视为违约。</w:t>
      </w:r>
    </w:p>
    <w:p w14:paraId="35B3BEB3">
      <w:p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六）甲方有权对乙方配送的各类物品自行或者委托第三方检测机构进行抽检。按国家有关标准，若检测不合格，甲方予以书面警告，并对该批货物予以没收销毁，不必退还乙方并支付相关费用；书面警告后一个月内再出现同样情况，甲方有权单方解除服务合同且无需承担任何责任，乙方应承担相应责任并支付当天总货款10％的违约金。</w:t>
      </w:r>
    </w:p>
    <w:p w14:paraId="6E205766">
      <w:p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（七）乙方若因采购食材物品需要现场初加工的，或者甲方提出初加工需求的，甲方提供初加工操作场地，乙方派遣加工人员临场加工。乙方派遣初加工人员应服从甲方的管理，严格遵守操作规程。</w:t>
      </w:r>
    </w:p>
    <w:p w14:paraId="208FD41C">
      <w:pPr>
        <w:tabs>
          <w:tab w:val="left" w:pos="900"/>
        </w:tabs>
        <w:adjustRightInd w:val="0"/>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八、乙方的权利与义务</w:t>
      </w:r>
    </w:p>
    <w:p w14:paraId="693AC82F">
      <w:p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szCs w:val="21"/>
        </w:rPr>
        <w:t>（一）</w:t>
      </w:r>
      <w:r>
        <w:rPr>
          <w:rFonts w:hint="eastAsia" w:ascii="宋体" w:hAnsi="宋体" w:cs="宋体"/>
          <w:color w:val="000000"/>
          <w:szCs w:val="21"/>
        </w:rPr>
        <w:t>乙方在接到甲方订单通知后，应按甲方订购单要求，及时、保质保量将所需原料、食品等物资按指定时间送至指定地点。根据应急方案安排，对甲方临时或者紧急采购配送需求，及时开展采购和配送。</w:t>
      </w:r>
    </w:p>
    <w:p w14:paraId="63C38CA1">
      <w:p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（二）</w:t>
      </w:r>
      <w:r>
        <w:rPr>
          <w:rFonts w:hint="eastAsia" w:ascii="宋体" w:hAnsi="宋体" w:cs="宋体"/>
          <w:szCs w:val="21"/>
        </w:rPr>
        <w:t>乙方应建立健全内部食品安全检测制度，严把采购关。乙方为甲方所供应的食材物品，必须来源于国家批准生产的正规厂家。各项指标、渠道、环节必须符合《食品安全法》及广东省、深圳市及行业的要求，严把食品安全质量关。</w:t>
      </w:r>
    </w:p>
    <w:p w14:paraId="669FD03F">
      <w:pPr>
        <w:spacing w:line="360" w:lineRule="auto"/>
        <w:ind w:firstLine="420" w:firstLineChars="200"/>
        <w:rPr>
          <w:rFonts w:ascii="宋体" w:hAnsi="宋体" w:cs="宋体"/>
          <w:color w:val="000000"/>
          <w:szCs w:val="21"/>
        </w:rPr>
      </w:pPr>
      <w:r>
        <w:rPr>
          <w:rFonts w:hint="eastAsia" w:ascii="宋体" w:hAnsi="宋体" w:cs="宋体"/>
          <w:szCs w:val="21"/>
        </w:rPr>
        <w:t>（三）乙方为甲方所供应的冻品必须用冷藏车运输，必须有生产厂家提供有效的《营业执照》、《食品流通许可证》、县级以上卫生部门的《检验报告》、包装食品原料，必须有“QS”安全标志。</w:t>
      </w:r>
    </w:p>
    <w:p w14:paraId="03858CFB">
      <w:p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szCs w:val="21"/>
        </w:rPr>
        <w:t>（五）乙方为甲方供应的各类</w:t>
      </w:r>
      <w:r>
        <w:rPr>
          <w:rFonts w:hint="eastAsia" w:ascii="宋体" w:hAnsi="宋体" w:cs="宋体"/>
          <w:color w:val="000000"/>
          <w:szCs w:val="21"/>
        </w:rPr>
        <w:t>成品</w:t>
      </w:r>
      <w:r>
        <w:rPr>
          <w:rFonts w:hint="eastAsia" w:ascii="宋体" w:hAnsi="宋体" w:cs="宋体"/>
          <w:szCs w:val="21"/>
        </w:rPr>
        <w:t>和包装商品，必须包装完好，有生产厂址、生产日期、保质期、包装食品原料有“QS”安全标识。无上述标识的包装商品，甲方有权拒收。</w:t>
      </w:r>
    </w:p>
    <w:p w14:paraId="023CC473">
      <w:p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六）在合同期间，如因配送的食品原材料卫生、安全、质量等原因，导致发生食物中毒事件，经有关部门检验，确属乙方所送的食品原材料质量问题所引起的，乙方承担全部民事赔偿责任、行政责任或刑事责任等法律责任，甲方有权解除本合同，</w:t>
      </w:r>
      <w:r>
        <w:rPr>
          <w:rFonts w:hint="eastAsia" w:ascii="宋体" w:hAnsi="宋体" w:cs="宋体"/>
          <w:szCs w:val="21"/>
        </w:rPr>
        <w:t>并要求赔偿由此产生的全部损失</w:t>
      </w:r>
      <w:r>
        <w:rPr>
          <w:rFonts w:hint="eastAsia" w:ascii="宋体" w:hAnsi="宋体" w:cs="宋体"/>
          <w:color w:val="000000"/>
          <w:szCs w:val="21"/>
        </w:rPr>
        <w:t>。</w:t>
      </w:r>
    </w:p>
    <w:p w14:paraId="213AAC7F">
      <w:pPr>
        <w:tabs>
          <w:tab w:val="left" w:pos="9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七）乙方应该按照甲方的要求，建立完整的各类物品追踪溯源体系，建立专门台账，按深圳市《食品进货索证和台账登记本》模板，如实记录配送给甲方的各类物品，留存相关检验合格证明、资质证明、营业执照等有效资料，并可追踪溯源，甲方有权定期检查。</w:t>
      </w:r>
    </w:p>
    <w:p w14:paraId="5AF3D20E">
      <w:pPr>
        <w:tabs>
          <w:tab w:val="left" w:pos="900"/>
        </w:tabs>
        <w:adjustRightInd w:val="0"/>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九、食材物品质量要求</w:t>
      </w:r>
    </w:p>
    <w:p w14:paraId="488625BF">
      <w:pPr>
        <w:spacing w:line="360" w:lineRule="auto"/>
        <w:ind w:firstLine="420"/>
        <w:rPr>
          <w:rFonts w:ascii="宋体" w:hAnsi="宋体" w:cs="宋体"/>
          <w:szCs w:val="21"/>
        </w:rPr>
      </w:pPr>
      <w:r>
        <w:rPr>
          <w:rFonts w:hint="eastAsia" w:ascii="宋体" w:hAnsi="宋体" w:cs="宋体"/>
          <w:szCs w:val="21"/>
        </w:rPr>
        <w:t>乙方配送的食材物品应满足以下要求并符合国家和省市有关食品安全管理相关规定（以下要求与招投标文件不一致的，以要求较高的为准）：</w:t>
      </w:r>
    </w:p>
    <w:p w14:paraId="6DD8783F">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（一）蔬菜类要求：</w:t>
      </w:r>
    </w:p>
    <w:p w14:paraId="1F7F0429">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1.货物质量要求：</w:t>
      </w:r>
    </w:p>
    <w:p w14:paraId="4031082B">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w:t>
      </w:r>
    </w:p>
    <w:p w14:paraId="25B8CE6C">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蔬菜包装与标志要求：包装。容器(框、箱、袋)要求清洁、干燥、牢固、透气，无污染、无异味、无霉变现象。标志。每件包装必须按《农产品包装和标识管理办法》贴标签，并标明产地、品种、净含量、生产单位及地址和采收日期。</w:t>
      </w:r>
    </w:p>
    <w:p w14:paraId="46C9F1C0">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3.食品供应链要求：所有食品的来源必须清晰。蔬菜来源须为范围内的自有基地、商品菜基地或蔬菜专业流通市场，严禁收购散户农民的蔬菜供应。每天按照约定时间送到采购人指定地点。</w:t>
      </w:r>
    </w:p>
    <w:p w14:paraId="3A6778D6">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4.蔬菜卫生质量指标，应符合我国无公害蔬菜上的卫生指标规定：</w:t>
      </w:r>
    </w:p>
    <w:tbl>
      <w:tblPr>
        <w:tblStyle w:val="4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20"/>
        <w:gridCol w:w="4196"/>
        <w:gridCol w:w="1409"/>
      </w:tblGrid>
      <w:tr w14:paraId="1260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vAlign w:val="center"/>
          </w:tcPr>
          <w:p w14:paraId="10385D40">
            <w:pPr>
              <w:spacing w:line="360" w:lineRule="auto"/>
              <w:ind w:firstLine="420" w:firstLineChars="200"/>
              <w:rPr>
                <w:rFonts w:ascii="宋体" w:hAnsi="宋体" w:cs="宋体"/>
                <w:szCs w:val="21"/>
              </w:rPr>
            </w:pPr>
            <w:r>
              <w:rPr>
                <w:rFonts w:hint="eastAsia" w:ascii="宋体" w:hAnsi="宋体" w:cs="宋体"/>
                <w:szCs w:val="21"/>
              </w:rPr>
              <w:t>项目</w:t>
            </w:r>
          </w:p>
        </w:tc>
        <w:tc>
          <w:tcPr>
            <w:tcW w:w="4196" w:type="dxa"/>
            <w:tcBorders>
              <w:top w:val="single" w:color="auto" w:sz="4" w:space="0"/>
              <w:left w:val="single" w:color="auto" w:sz="4" w:space="0"/>
              <w:bottom w:val="single" w:color="auto" w:sz="4" w:space="0"/>
              <w:right w:val="single" w:color="auto" w:sz="4" w:space="0"/>
            </w:tcBorders>
            <w:shd w:val="clear" w:color="auto" w:fill="auto"/>
            <w:vAlign w:val="center"/>
          </w:tcPr>
          <w:p w14:paraId="57C727E9">
            <w:pPr>
              <w:spacing w:line="360" w:lineRule="auto"/>
              <w:ind w:firstLine="420" w:firstLineChars="200"/>
              <w:rPr>
                <w:rFonts w:ascii="宋体" w:hAnsi="宋体" w:cs="宋体"/>
                <w:szCs w:val="21"/>
              </w:rPr>
            </w:pPr>
            <w:r>
              <w:rPr>
                <w:rFonts w:hint="eastAsia" w:ascii="宋体" w:hAnsi="宋体" w:cs="宋体"/>
                <w:szCs w:val="21"/>
              </w:rPr>
              <w:t>指标（mg/kg）</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3B2B088C">
            <w:pPr>
              <w:spacing w:line="360" w:lineRule="auto"/>
              <w:ind w:firstLine="420" w:firstLineChars="200"/>
              <w:rPr>
                <w:rFonts w:ascii="宋体" w:hAnsi="宋体" w:cs="宋体"/>
                <w:szCs w:val="21"/>
              </w:rPr>
            </w:pPr>
            <w:r>
              <w:rPr>
                <w:rFonts w:hint="eastAsia" w:ascii="宋体" w:hAnsi="宋体" w:cs="宋体"/>
                <w:szCs w:val="21"/>
              </w:rPr>
              <w:t>备注</w:t>
            </w:r>
          </w:p>
        </w:tc>
      </w:tr>
      <w:tr w14:paraId="409B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62D8B76A">
            <w:pPr>
              <w:spacing w:line="360" w:lineRule="auto"/>
              <w:ind w:firstLine="420" w:firstLineChars="200"/>
              <w:rPr>
                <w:rFonts w:ascii="宋体" w:hAnsi="宋体" w:cs="宋体"/>
                <w:szCs w:val="21"/>
              </w:rPr>
            </w:pPr>
            <w:r>
              <w:rPr>
                <w:rFonts w:hint="eastAsia" w:ascii="宋体" w:hAnsi="宋体" w:cs="宋体"/>
                <w:szCs w:val="21"/>
              </w:rPr>
              <w:t>甲胺磷</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11B6EB14">
            <w:pPr>
              <w:spacing w:line="360" w:lineRule="auto"/>
              <w:ind w:firstLine="420" w:firstLineChars="200"/>
              <w:rPr>
                <w:rFonts w:ascii="宋体" w:hAnsi="宋体" w:cs="宋体"/>
                <w:szCs w:val="21"/>
              </w:rPr>
            </w:pPr>
            <w:r>
              <w:rPr>
                <w:rFonts w:hint="eastAsia" w:ascii="宋体" w:hAnsi="宋体" w:cs="宋体"/>
                <w:szCs w:val="21"/>
              </w:rPr>
              <w:t>不得检出</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2EE97918">
            <w:pPr>
              <w:spacing w:line="360" w:lineRule="auto"/>
              <w:rPr>
                <w:rFonts w:ascii="宋体" w:hAnsi="宋体" w:cs="宋体"/>
                <w:szCs w:val="21"/>
              </w:rPr>
            </w:pPr>
          </w:p>
        </w:tc>
      </w:tr>
      <w:tr w14:paraId="3328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6D749434">
            <w:pPr>
              <w:spacing w:line="360" w:lineRule="auto"/>
              <w:ind w:firstLine="420" w:firstLineChars="200"/>
              <w:rPr>
                <w:rFonts w:ascii="宋体" w:hAnsi="宋体" w:cs="宋体"/>
                <w:szCs w:val="21"/>
              </w:rPr>
            </w:pPr>
            <w:r>
              <w:rPr>
                <w:rFonts w:hint="eastAsia" w:ascii="宋体" w:hAnsi="宋体" w:cs="宋体"/>
                <w:szCs w:val="21"/>
              </w:rPr>
              <w:t xml:space="preserve">甲拌磷 </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169680AF">
            <w:pPr>
              <w:spacing w:line="360" w:lineRule="auto"/>
              <w:ind w:firstLine="420" w:firstLineChars="200"/>
              <w:rPr>
                <w:rFonts w:ascii="宋体" w:hAnsi="宋体" w:cs="宋体"/>
                <w:szCs w:val="21"/>
              </w:rPr>
            </w:pPr>
            <w:r>
              <w:rPr>
                <w:rFonts w:hint="eastAsia" w:ascii="宋体" w:hAnsi="宋体" w:cs="宋体"/>
                <w:szCs w:val="21"/>
              </w:rPr>
              <w:t>不得检出</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6781BD34">
            <w:pPr>
              <w:spacing w:line="360" w:lineRule="auto"/>
              <w:rPr>
                <w:rFonts w:ascii="宋体" w:hAnsi="宋体" w:cs="宋体"/>
                <w:szCs w:val="21"/>
              </w:rPr>
            </w:pPr>
          </w:p>
        </w:tc>
      </w:tr>
      <w:tr w14:paraId="20BF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54109B58">
            <w:pPr>
              <w:spacing w:line="360" w:lineRule="auto"/>
              <w:ind w:firstLine="420" w:firstLineChars="200"/>
              <w:rPr>
                <w:rFonts w:ascii="宋体" w:hAnsi="宋体" w:cs="宋体"/>
                <w:szCs w:val="21"/>
              </w:rPr>
            </w:pPr>
            <w:r>
              <w:rPr>
                <w:rFonts w:hint="eastAsia" w:ascii="宋体" w:hAnsi="宋体" w:cs="宋体"/>
                <w:szCs w:val="21"/>
              </w:rPr>
              <w:t>氧化乐果</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35FBF279">
            <w:pPr>
              <w:spacing w:line="360" w:lineRule="auto"/>
              <w:ind w:firstLine="420" w:firstLineChars="200"/>
              <w:rPr>
                <w:rFonts w:ascii="宋体" w:hAnsi="宋体" w:cs="宋体"/>
                <w:szCs w:val="21"/>
              </w:rPr>
            </w:pPr>
            <w:r>
              <w:rPr>
                <w:rFonts w:hint="eastAsia" w:ascii="宋体" w:hAnsi="宋体" w:cs="宋体"/>
                <w:szCs w:val="21"/>
              </w:rPr>
              <w:t>不得检出</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629294A8">
            <w:pPr>
              <w:spacing w:line="360" w:lineRule="auto"/>
              <w:rPr>
                <w:rFonts w:ascii="宋体" w:hAnsi="宋体" w:cs="宋体"/>
                <w:szCs w:val="21"/>
              </w:rPr>
            </w:pPr>
          </w:p>
        </w:tc>
      </w:tr>
      <w:tr w14:paraId="3CA3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578D5E18">
            <w:pPr>
              <w:spacing w:line="360" w:lineRule="auto"/>
              <w:ind w:firstLine="420" w:firstLineChars="200"/>
              <w:rPr>
                <w:rFonts w:ascii="宋体" w:hAnsi="宋体" w:cs="宋体"/>
                <w:szCs w:val="21"/>
              </w:rPr>
            </w:pPr>
            <w:r>
              <w:rPr>
                <w:rFonts w:hint="eastAsia" w:ascii="宋体" w:hAnsi="宋体" w:cs="宋体"/>
                <w:szCs w:val="21"/>
              </w:rPr>
              <w:t>甲基对硫磷</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20771C54">
            <w:pPr>
              <w:spacing w:line="360" w:lineRule="auto"/>
              <w:ind w:firstLine="420" w:firstLineChars="200"/>
              <w:rPr>
                <w:rFonts w:ascii="宋体" w:hAnsi="宋体" w:cs="宋体"/>
                <w:szCs w:val="21"/>
              </w:rPr>
            </w:pPr>
            <w:r>
              <w:rPr>
                <w:rFonts w:hint="eastAsia" w:ascii="宋体" w:hAnsi="宋体" w:cs="宋体"/>
                <w:szCs w:val="21"/>
              </w:rPr>
              <w:t>不得检出</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53F77D7F">
            <w:pPr>
              <w:spacing w:line="360" w:lineRule="auto"/>
              <w:rPr>
                <w:rFonts w:ascii="宋体" w:hAnsi="宋体" w:cs="宋体"/>
                <w:szCs w:val="21"/>
              </w:rPr>
            </w:pPr>
          </w:p>
        </w:tc>
      </w:tr>
      <w:tr w14:paraId="56AE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22ABF5F6">
            <w:pPr>
              <w:spacing w:line="360" w:lineRule="auto"/>
              <w:ind w:firstLine="420" w:firstLineChars="200"/>
              <w:rPr>
                <w:rFonts w:ascii="宋体" w:hAnsi="宋体" w:cs="宋体"/>
                <w:szCs w:val="21"/>
              </w:rPr>
            </w:pPr>
            <w:r>
              <w:rPr>
                <w:rFonts w:hint="eastAsia" w:ascii="宋体" w:hAnsi="宋体" w:cs="宋体"/>
                <w:szCs w:val="21"/>
              </w:rPr>
              <w:t>呋喃丹</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41E9BC42">
            <w:pPr>
              <w:spacing w:line="360" w:lineRule="auto"/>
              <w:ind w:firstLine="420" w:firstLineChars="200"/>
              <w:rPr>
                <w:rFonts w:ascii="宋体" w:hAnsi="宋体" w:cs="宋体"/>
                <w:szCs w:val="21"/>
              </w:rPr>
            </w:pPr>
            <w:r>
              <w:rPr>
                <w:rFonts w:hint="eastAsia" w:ascii="宋体" w:hAnsi="宋体" w:cs="宋体"/>
                <w:szCs w:val="21"/>
              </w:rPr>
              <w:t>不得检出</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36B34DCF">
            <w:pPr>
              <w:spacing w:line="360" w:lineRule="auto"/>
              <w:rPr>
                <w:rFonts w:ascii="宋体" w:hAnsi="宋体" w:cs="宋体"/>
                <w:szCs w:val="21"/>
              </w:rPr>
            </w:pPr>
          </w:p>
        </w:tc>
      </w:tr>
      <w:tr w14:paraId="4A5B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4D7086B0">
            <w:pPr>
              <w:spacing w:line="360" w:lineRule="auto"/>
              <w:ind w:firstLine="420" w:firstLineChars="200"/>
              <w:rPr>
                <w:rFonts w:ascii="宋体" w:hAnsi="宋体" w:cs="宋体"/>
                <w:szCs w:val="21"/>
              </w:rPr>
            </w:pPr>
            <w:r>
              <w:rPr>
                <w:rFonts w:hint="eastAsia" w:ascii="宋体" w:hAnsi="宋体" w:cs="宋体"/>
                <w:szCs w:val="21"/>
              </w:rPr>
              <w:t>百菌清</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3C25C443">
            <w:pPr>
              <w:spacing w:line="360" w:lineRule="auto"/>
              <w:ind w:firstLine="420" w:firstLineChars="200"/>
              <w:rPr>
                <w:rFonts w:ascii="宋体" w:hAnsi="宋体" w:cs="宋体"/>
                <w:szCs w:val="21"/>
              </w:rPr>
            </w:pPr>
            <w:r>
              <w:rPr>
                <w:rFonts w:hint="eastAsia" w:ascii="宋体" w:hAnsi="宋体" w:cs="宋体"/>
                <w:szCs w:val="21"/>
              </w:rPr>
              <w:t>≤1.0</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0F318BA9">
            <w:pPr>
              <w:spacing w:line="360" w:lineRule="auto"/>
              <w:rPr>
                <w:rFonts w:ascii="宋体" w:hAnsi="宋体" w:cs="宋体"/>
                <w:szCs w:val="21"/>
              </w:rPr>
            </w:pPr>
          </w:p>
        </w:tc>
      </w:tr>
      <w:tr w14:paraId="6D85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5EB4E519">
            <w:pPr>
              <w:spacing w:line="360" w:lineRule="auto"/>
              <w:ind w:firstLine="420" w:firstLineChars="200"/>
              <w:rPr>
                <w:rFonts w:ascii="宋体" w:hAnsi="宋体" w:cs="宋体"/>
                <w:szCs w:val="21"/>
              </w:rPr>
            </w:pPr>
            <w:r>
              <w:rPr>
                <w:rFonts w:hint="eastAsia" w:ascii="宋体" w:hAnsi="宋体" w:cs="宋体"/>
                <w:szCs w:val="21"/>
              </w:rPr>
              <w:t>多菌灵</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22B1D78B">
            <w:pPr>
              <w:spacing w:line="360" w:lineRule="auto"/>
              <w:ind w:firstLine="420" w:firstLineChars="200"/>
              <w:rPr>
                <w:rFonts w:ascii="宋体" w:hAnsi="宋体" w:cs="宋体"/>
                <w:szCs w:val="21"/>
              </w:rPr>
            </w:pPr>
            <w:r>
              <w:rPr>
                <w:rFonts w:hint="eastAsia" w:ascii="宋体" w:hAnsi="宋体" w:cs="宋体"/>
                <w:szCs w:val="21"/>
              </w:rPr>
              <w:t>≤0.5</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67F20E6B">
            <w:pPr>
              <w:spacing w:line="360" w:lineRule="auto"/>
              <w:rPr>
                <w:rFonts w:ascii="宋体" w:hAnsi="宋体" w:cs="宋体"/>
                <w:szCs w:val="21"/>
              </w:rPr>
            </w:pPr>
          </w:p>
        </w:tc>
      </w:tr>
      <w:tr w14:paraId="301D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3B83BF6C">
            <w:pPr>
              <w:spacing w:line="360" w:lineRule="auto"/>
              <w:ind w:firstLine="420" w:firstLineChars="200"/>
              <w:rPr>
                <w:rFonts w:ascii="宋体" w:hAnsi="宋体" w:cs="宋体"/>
                <w:szCs w:val="21"/>
              </w:rPr>
            </w:pPr>
            <w:r>
              <w:rPr>
                <w:rFonts w:hint="eastAsia" w:ascii="宋体" w:hAnsi="宋体" w:cs="宋体"/>
                <w:szCs w:val="21"/>
              </w:rPr>
              <w:t>汞（以Hg计）</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7891A889">
            <w:pPr>
              <w:spacing w:line="360" w:lineRule="auto"/>
              <w:ind w:firstLine="420" w:firstLineChars="200"/>
              <w:rPr>
                <w:rFonts w:ascii="宋体" w:hAnsi="宋体" w:cs="宋体"/>
                <w:szCs w:val="21"/>
              </w:rPr>
            </w:pPr>
            <w:r>
              <w:rPr>
                <w:rFonts w:hint="eastAsia" w:ascii="宋体" w:hAnsi="宋体" w:cs="宋体"/>
                <w:szCs w:val="21"/>
              </w:rPr>
              <w:t>≤0.01</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2CB3597B">
            <w:pPr>
              <w:spacing w:line="360" w:lineRule="auto"/>
              <w:rPr>
                <w:rFonts w:ascii="宋体" w:hAnsi="宋体" w:cs="宋体"/>
                <w:szCs w:val="21"/>
              </w:rPr>
            </w:pPr>
          </w:p>
        </w:tc>
      </w:tr>
      <w:tr w14:paraId="08E5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42D2F856">
            <w:pPr>
              <w:spacing w:line="360" w:lineRule="auto"/>
              <w:ind w:firstLine="420" w:firstLineChars="200"/>
              <w:rPr>
                <w:rFonts w:ascii="宋体" w:hAnsi="宋体" w:cs="宋体"/>
                <w:szCs w:val="21"/>
              </w:rPr>
            </w:pPr>
            <w:r>
              <w:rPr>
                <w:rFonts w:hint="eastAsia" w:ascii="宋体" w:hAnsi="宋体" w:cs="宋体"/>
                <w:szCs w:val="21"/>
              </w:rPr>
              <w:t>铅（以Pb计）</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48BAC238">
            <w:pPr>
              <w:spacing w:line="360" w:lineRule="auto"/>
              <w:ind w:firstLine="420" w:firstLineChars="200"/>
              <w:rPr>
                <w:rFonts w:ascii="宋体" w:hAnsi="宋体" w:cs="宋体"/>
                <w:szCs w:val="21"/>
              </w:rPr>
            </w:pPr>
            <w:r>
              <w:rPr>
                <w:rFonts w:hint="eastAsia" w:ascii="宋体" w:hAnsi="宋体" w:cs="宋体"/>
                <w:szCs w:val="21"/>
              </w:rPr>
              <w:t>≤0.2</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36418903">
            <w:pPr>
              <w:spacing w:line="360" w:lineRule="auto"/>
              <w:rPr>
                <w:rFonts w:ascii="宋体" w:hAnsi="宋体" w:cs="宋体"/>
                <w:szCs w:val="21"/>
              </w:rPr>
            </w:pPr>
          </w:p>
        </w:tc>
      </w:tr>
      <w:tr w14:paraId="75DA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2D0454F8">
            <w:pPr>
              <w:spacing w:line="360" w:lineRule="auto"/>
              <w:ind w:firstLine="420" w:firstLineChars="200"/>
              <w:rPr>
                <w:rFonts w:ascii="宋体" w:hAnsi="宋体" w:cs="宋体"/>
                <w:szCs w:val="21"/>
              </w:rPr>
            </w:pPr>
            <w:r>
              <w:rPr>
                <w:rFonts w:hint="eastAsia" w:ascii="宋体" w:hAnsi="宋体" w:cs="宋体"/>
                <w:szCs w:val="21"/>
              </w:rPr>
              <w:t>砷（以As计）</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758CD219">
            <w:pPr>
              <w:spacing w:line="360" w:lineRule="auto"/>
              <w:ind w:firstLine="420" w:firstLineChars="200"/>
              <w:rPr>
                <w:rFonts w:ascii="宋体" w:hAnsi="宋体" w:cs="宋体"/>
                <w:szCs w:val="21"/>
              </w:rPr>
            </w:pPr>
            <w:r>
              <w:rPr>
                <w:rFonts w:hint="eastAsia" w:ascii="宋体" w:hAnsi="宋体" w:cs="宋体"/>
                <w:szCs w:val="21"/>
              </w:rPr>
              <w:t>≤0.5</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70D3C41A">
            <w:pPr>
              <w:spacing w:line="360" w:lineRule="auto"/>
              <w:rPr>
                <w:rFonts w:ascii="宋体" w:hAnsi="宋体" w:cs="宋体"/>
                <w:szCs w:val="21"/>
              </w:rPr>
            </w:pPr>
          </w:p>
        </w:tc>
      </w:tr>
      <w:tr w14:paraId="7C50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20D5037A">
            <w:pPr>
              <w:spacing w:line="360" w:lineRule="auto"/>
              <w:ind w:firstLine="420" w:firstLineChars="200"/>
              <w:rPr>
                <w:rFonts w:ascii="宋体" w:hAnsi="宋体" w:cs="宋体"/>
                <w:szCs w:val="21"/>
              </w:rPr>
            </w:pPr>
            <w:r>
              <w:rPr>
                <w:rFonts w:hint="eastAsia" w:ascii="宋体" w:hAnsi="宋体" w:cs="宋体"/>
                <w:szCs w:val="21"/>
              </w:rPr>
              <w:t>氟（以F计）</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1125F0C9">
            <w:pPr>
              <w:spacing w:line="360" w:lineRule="auto"/>
              <w:ind w:firstLine="420" w:firstLineChars="200"/>
              <w:rPr>
                <w:rFonts w:ascii="宋体" w:hAnsi="宋体" w:cs="宋体"/>
                <w:szCs w:val="21"/>
              </w:rPr>
            </w:pPr>
            <w:r>
              <w:rPr>
                <w:rFonts w:hint="eastAsia" w:ascii="宋体" w:hAnsi="宋体" w:cs="宋体"/>
                <w:szCs w:val="21"/>
              </w:rPr>
              <w:t>≤0.5</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734F9598">
            <w:pPr>
              <w:spacing w:line="360" w:lineRule="auto"/>
              <w:rPr>
                <w:rFonts w:ascii="宋体" w:hAnsi="宋体" w:cs="宋体"/>
                <w:szCs w:val="21"/>
              </w:rPr>
            </w:pPr>
          </w:p>
        </w:tc>
      </w:tr>
      <w:tr w14:paraId="48E8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21DE593E">
            <w:pPr>
              <w:spacing w:line="360" w:lineRule="auto"/>
              <w:ind w:firstLine="420" w:firstLineChars="200"/>
              <w:rPr>
                <w:rFonts w:ascii="宋体" w:hAnsi="宋体" w:cs="宋体"/>
                <w:szCs w:val="21"/>
              </w:rPr>
            </w:pPr>
            <w:r>
              <w:rPr>
                <w:rFonts w:hint="eastAsia" w:ascii="宋体" w:hAnsi="宋体" w:cs="宋体"/>
                <w:szCs w:val="21"/>
              </w:rPr>
              <w:t>硝酸盐（以NaNO3计）</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4C1E9DD8">
            <w:pPr>
              <w:spacing w:line="360" w:lineRule="auto"/>
              <w:ind w:firstLine="420" w:firstLineChars="200"/>
              <w:rPr>
                <w:rFonts w:ascii="宋体" w:hAnsi="宋体" w:cs="宋体"/>
                <w:szCs w:val="21"/>
              </w:rPr>
            </w:pPr>
            <w:r>
              <w:rPr>
                <w:rFonts w:hint="eastAsia" w:ascii="宋体" w:hAnsi="宋体" w:cs="宋体"/>
                <w:szCs w:val="21"/>
              </w:rPr>
              <w:t>瓜果类≤600；叶菜根茎类≤120</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7A0CA71C">
            <w:pPr>
              <w:spacing w:line="360" w:lineRule="auto"/>
              <w:rPr>
                <w:rFonts w:ascii="宋体" w:hAnsi="宋体" w:cs="宋体"/>
                <w:szCs w:val="21"/>
              </w:rPr>
            </w:pPr>
          </w:p>
        </w:tc>
      </w:tr>
      <w:tr w14:paraId="32E1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jc w:val="center"/>
        </w:trPr>
        <w:tc>
          <w:tcPr>
            <w:tcW w:w="3321" w:type="dxa"/>
            <w:tcBorders>
              <w:top w:val="single" w:color="auto" w:sz="4" w:space="0"/>
              <w:left w:val="single" w:color="auto" w:sz="4" w:space="0"/>
              <w:bottom w:val="single" w:color="auto" w:sz="4" w:space="0"/>
              <w:right w:val="single" w:color="auto" w:sz="4" w:space="0"/>
            </w:tcBorders>
            <w:shd w:val="clear" w:color="auto" w:fill="auto"/>
          </w:tcPr>
          <w:p w14:paraId="29CB359B">
            <w:pPr>
              <w:spacing w:line="360" w:lineRule="auto"/>
              <w:ind w:firstLine="420" w:firstLineChars="200"/>
              <w:rPr>
                <w:rFonts w:ascii="宋体" w:hAnsi="宋体" w:cs="宋体"/>
                <w:szCs w:val="21"/>
              </w:rPr>
            </w:pPr>
            <w:r>
              <w:rPr>
                <w:rFonts w:hint="eastAsia" w:ascii="宋体" w:hAnsi="宋体" w:cs="宋体"/>
                <w:szCs w:val="21"/>
              </w:rPr>
              <w:t>亚硝酸盐（以NaNO2计）</w:t>
            </w:r>
          </w:p>
        </w:tc>
        <w:tc>
          <w:tcPr>
            <w:tcW w:w="4196" w:type="dxa"/>
            <w:tcBorders>
              <w:top w:val="single" w:color="auto" w:sz="4" w:space="0"/>
              <w:left w:val="single" w:color="auto" w:sz="4" w:space="0"/>
              <w:bottom w:val="single" w:color="auto" w:sz="4" w:space="0"/>
              <w:right w:val="single" w:color="auto" w:sz="4" w:space="0"/>
            </w:tcBorders>
            <w:shd w:val="clear" w:color="auto" w:fill="auto"/>
          </w:tcPr>
          <w:p w14:paraId="4C87AF46">
            <w:pPr>
              <w:spacing w:line="360" w:lineRule="auto"/>
              <w:ind w:firstLine="420" w:firstLineChars="200"/>
              <w:rPr>
                <w:rFonts w:ascii="宋体" w:hAnsi="宋体" w:cs="宋体"/>
                <w:szCs w:val="21"/>
              </w:rPr>
            </w:pPr>
            <w:r>
              <w:rPr>
                <w:rFonts w:hint="eastAsia" w:ascii="宋体" w:hAnsi="宋体" w:cs="宋体"/>
                <w:szCs w:val="21"/>
              </w:rPr>
              <w:t>≤4</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6CA1BD2F">
            <w:pPr>
              <w:spacing w:line="360" w:lineRule="auto"/>
              <w:rPr>
                <w:rFonts w:ascii="宋体" w:hAnsi="宋体" w:cs="宋体"/>
                <w:szCs w:val="21"/>
              </w:rPr>
            </w:pPr>
          </w:p>
        </w:tc>
      </w:tr>
    </w:tbl>
    <w:p w14:paraId="5AB0C549">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（二）干货类</w:t>
      </w:r>
    </w:p>
    <w:p w14:paraId="4AC54A86">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1.供应产品质量必须要符合行业标准要求，不得有掺假、变质、变味、过期等现象出现，严禁伪劣、假冒、无证不合格物品进入仓库。干货制品的质量基本标准要求符合国家相关行业标准，干爽，不霉烂、整齐、均匀、完整，无虫蛀、无杂质，保持应有的色泽。确保产品质量稳定，保证营养丰富、绿色安全、海味浓郁、易存放、 食用方便，保质期长。从加工、包装、运输、贮存到销售全部符合国家规定标准。尤其是二氧化硫残留量、总砷含量不超过国家卫生标准；木耳类的水分含量不能超过国家标准要求，采购方可根据实际情况对需要的干货制品进行品质抽检，对质量未达到国家标准的干货制品采购人有权拒绝接受。</w:t>
      </w:r>
    </w:p>
    <w:p w14:paraId="5A2FCC52">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2.几种主要干货制品的质量标准：</w:t>
      </w:r>
    </w:p>
    <w:p w14:paraId="5ED72324">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2.1肉皮：作为干肉皮，无论什么部位，体表洁净无毛，白亮无残余肥膘，无虫蛀，干爽，敲击时响声清脆，质量均匀为好，反之则为次之，如已发霉，并有哈喇味，即已变质。</w:t>
      </w:r>
    </w:p>
    <w:p w14:paraId="77099FCD">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2.2玉兰片：玉兰片以色泽黄白、洁净、肉厚、纤维少、节较密、体长不超过 10~17cm 的为最好，肉薄节疏、纤维多而粗老的质量较差。</w:t>
      </w:r>
    </w:p>
    <w:p w14:paraId="7F8CC0EB">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2.3黄花菜：又名金针菜，干燥、有清香味，菜色黄亮、身条长而粗壮、条杆粗细均匀者为佳。</w:t>
      </w:r>
    </w:p>
    <w:p w14:paraId="45D196A1">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2.4黑木耳：黑木耳的质量一般以条形大而完整，耳瓣舒展少卷曲，内厚黑，富于光泽，体干不霉，无杂质和碎者为优，反之则差。</w:t>
      </w:r>
    </w:p>
    <w:p w14:paraId="55B0C727">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2.5银耳：银耳又称白木耳，以朵大、色洁白、有光泽、无杂质，根小、干度足，完整者为佳品，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14:paraId="653DEF75">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2.6腐竹：腐竹又名豆腐皮和油皮，有一、二、三级品之分。 一极品：色泽黄亮、干燥筋韧、耐贮、无碎块。 二极品：颜色较一极品灰黄、干燥无碎块。 三极品：颜色更灰黄、无光泽、易碎、筋韧性差。</w:t>
      </w:r>
    </w:p>
    <w:p w14:paraId="2494A366">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2.7粉丝：质量好的粉丝，粉条细长、白净、晶莹透明、丝条均匀、整齐、干燥，不易折断，无斑点、黑迹，无霉变，有粉丝特有的光泽。</w:t>
      </w:r>
    </w:p>
    <w:p w14:paraId="350EEC1C">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2.8鱿鱼：市场上常见的鱿鱼有椭圆形和长方形，选购时应注意：体干、体形完整、光亮洁净、淡 粉红色、片大头小、肉厚者为优。体形部分卷曲，尾部和背部红中透暗，两侧有微红点、体小 而宽、肉薄者为次品。</w:t>
      </w:r>
    </w:p>
    <w:p w14:paraId="50128358">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2.9紫菜：属海产红藻类植物，因鲜紫菜叶较宽大，经干制成长方块形，散片状卷筒，其中以卷筒形柔嫩微脆、叶薄、色紫清香鲜美的为品质优。</w:t>
      </w:r>
    </w:p>
    <w:p w14:paraId="5ADDD596">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2.10发菜：发菜是陆生褐色藻类，以藻体细长、绿黑色、柔软爽滑、干燥、无杂质的质量为优，反之则劣。</w:t>
      </w:r>
    </w:p>
    <w:p w14:paraId="4C517B93">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（三）调味品要求</w:t>
      </w:r>
    </w:p>
    <w:p w14:paraId="4985F293">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1.总体要求。产品外包装上明确标准产品名称、规格、生产日期、保质期、生产厂家、生产地点等。拥有“QS”食品质量安全认证，符合《食品安全法》的基本要求。</w:t>
      </w:r>
    </w:p>
    <w:p w14:paraId="4CB70E2F">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2.几种主要调味品的质量标准：</w:t>
      </w:r>
    </w:p>
    <w:p w14:paraId="163E886B">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2.1酱油，氨基酸态氮含量要求每百毫升≥0.55；澄清，浓厚，稀稠适度，挂壁，无沉淀。</w:t>
      </w:r>
    </w:p>
    <w:p w14:paraId="3DD98558">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2.2醋， 颜色黑紫、过夏不霉、过冬不冻，气味甘甜异酸；食醋的总酸含量要≥3.5g/100ml；具有琥珀色或红棕色，有光泽者为佳品。体态澄清、浓度适当，无悬浮物、沉淀。</w:t>
      </w:r>
    </w:p>
    <w:p w14:paraId="7E89ED6E">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2.3味精，味精颗粒形状一致，色洁白有光泽，颗粒间呈散粒状态；味精溶液透明无色，无泡沫，无杂质。</w:t>
      </w:r>
    </w:p>
    <w:p w14:paraId="65F28E4A">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2.4鸡精，谷氨酸钠，g/100g≥35.0 氯化物g/100g≤40.0，呈味核苷酸二钠g/100g≥1.10，干燥失重g/100g≤3.0，总氮g/100g≥3.00，其他氮g/100g≥0.20。</w:t>
      </w:r>
    </w:p>
    <w:p w14:paraId="2A4F8C54">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2.5豆瓣酱，色泽：红褐色、油润光亮；香气：无不良气味；滋味：鲜美、咸淡可口；体态：松散、质地柔软。</w:t>
      </w:r>
    </w:p>
    <w:p w14:paraId="14FE25C4">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2.6白砂糖，结晶体、质地均匀、甜味纯正；干燥松散、洁白、有光泽、无明显黑点。</w:t>
      </w:r>
    </w:p>
    <w:p w14:paraId="3AAFE57A">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2.7料酒，酒精含量在15 度以下；由小米或糯米酿造而成。</w:t>
      </w:r>
    </w:p>
    <w:p w14:paraId="4E8CDA16">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（四）食用油要求</w:t>
      </w:r>
    </w:p>
    <w:p w14:paraId="64B47811">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1.须为一年内新油。大豆油符合GB/T1535—2017《大豆油》一级标准；符合食品安全国家标准：GB 2761-2017、GB 2762-2017、GB 2760-2014、GB 5009.271-2016；包装应符合GB/T 17374-2008 食用植物油销售包装、Q/7645776C-0.1-2017 食品包装瓶。</w:t>
      </w:r>
    </w:p>
    <w:p w14:paraId="1DDC9161">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2.菜籽油符合GB/T 1536—2004《菜籽油》一级标准；符合食品安全国家标准：GB 2761-2017、GB 2762-2017、GB 2760-2014、GB 5009.271-2016；包装应符合GB/T 17374-2008 食用植物油销售包装、Q/7645776C-0.1-2017 食品包装瓶。</w:t>
      </w:r>
    </w:p>
    <w:p w14:paraId="442D14E0">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（五）大米要求</w:t>
      </w:r>
    </w:p>
    <w:p w14:paraId="029190BE">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1.须为一年内新米。</w:t>
      </w:r>
    </w:p>
    <w:p w14:paraId="493F3924">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2.须达到国家质量标准；GB1354-2009 三级以上（含三级）籼米，其中铬、镉、无机砷、黄曲霉毒素B1 等项目应符合相应的食品安全国家标准要求。</w:t>
      </w:r>
    </w:p>
    <w:p w14:paraId="2875FDA8">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3.包装要求：用纤维袋或塑料袋定量包装。包装上有生产许可证的编号，包装标识清楚，如印有重量、生产日期、保质期、生产厂家、电话等。</w:t>
      </w:r>
    </w:p>
    <w:p w14:paraId="5DA22408">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4.大米色泽呈透明玉色状，“米眼睛”（胚芽部）的颜色呈乳白色，有自然清香味，脂肪酸值[（mg/100g)≤30]符合GB/T20569-2006《稻谷储存品质判定规则》。</w:t>
      </w:r>
    </w:p>
    <w:p w14:paraId="52902956">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5.需提供生产加工方国家认可的质量检测部门出具的检测报告（GB 1354-2009），每季度提供生产加工方所在地质量检测部门的检测报告；</w:t>
      </w:r>
    </w:p>
    <w:p w14:paraId="71EACBE1">
      <w:pPr>
        <w:spacing w:line="360" w:lineRule="auto"/>
        <w:ind w:firstLine="420"/>
        <w:rPr>
          <w:rFonts w:ascii="宋体" w:hAnsi="宋体" w:cs="宋体"/>
          <w:szCs w:val="21"/>
        </w:rPr>
      </w:pPr>
      <w:r>
        <w:rPr>
          <w:rFonts w:hint="eastAsia" w:ascii="宋体" w:hAnsi="宋体" w:cs="宋体"/>
          <w:szCs w:val="21"/>
        </w:rPr>
        <w:t>（六）鲜肉类：保持较好的外观和质量等级，符合国家食品部门的有关标准，保证无异味、无霉烂、无变质，肉类保证来源于正规肉屠宰场，供货时须提交屠宰场的验收单及当批次有效的动物检疫合格证复印件（原件备查），新鲜肉确保每日新鲜，为当天正规屠宰场宰杀的新鲜肉。</w:t>
      </w:r>
    </w:p>
    <w:p w14:paraId="03AD828C">
      <w:pPr>
        <w:spacing w:line="360" w:lineRule="auto"/>
        <w:ind w:firstLine="420"/>
        <w:rPr>
          <w:rFonts w:ascii="宋体" w:hAnsi="宋体" w:cs="宋体"/>
          <w:szCs w:val="21"/>
        </w:rPr>
      </w:pPr>
      <w:r>
        <w:rPr>
          <w:rFonts w:hint="eastAsia" w:ascii="宋体" w:hAnsi="宋体" w:cs="宋体"/>
          <w:szCs w:val="21"/>
        </w:rPr>
        <w:t>（七）鲜鱼类：必须生猛鲜活，须杀好鱼、鱼麟刮除去除内脏、鱼鳃，去除腹内黑膜，肉质新鲜，无病毒，不含有害物质。</w:t>
      </w:r>
    </w:p>
    <w:p w14:paraId="1C9CE124">
      <w:pPr>
        <w:spacing w:line="360" w:lineRule="auto"/>
        <w:ind w:firstLine="420"/>
        <w:rPr>
          <w:rFonts w:ascii="宋体" w:hAnsi="宋体" w:cs="宋体"/>
          <w:szCs w:val="21"/>
        </w:rPr>
      </w:pPr>
      <w:r>
        <w:rPr>
          <w:rFonts w:hint="eastAsia" w:ascii="宋体" w:hAnsi="宋体" w:cs="宋体"/>
          <w:szCs w:val="21"/>
        </w:rPr>
        <w:t>（八）家禽类：有动物检疫证明，表皮光滑，新鲜肥美，无内脏，不打水，无病毒，符合食品卫生要求。</w:t>
      </w:r>
    </w:p>
    <w:p w14:paraId="36B0FB8D">
      <w:pPr>
        <w:spacing w:line="360" w:lineRule="auto"/>
        <w:ind w:firstLine="420"/>
        <w:rPr>
          <w:rFonts w:ascii="宋体" w:hAnsi="宋体" w:cs="宋体"/>
          <w:szCs w:val="21"/>
        </w:rPr>
      </w:pPr>
      <w:r>
        <w:rPr>
          <w:rFonts w:hint="eastAsia" w:ascii="宋体" w:hAnsi="宋体" w:cs="宋体"/>
          <w:szCs w:val="21"/>
        </w:rPr>
        <w:t>（九）蛋禽类：鲜蛋要求外观清洁，无破裂、发霉等情形。打开后蛋白澄清透明，无浑浊、发霉变质、异味等。未超过保质期并满足相关国家标准。禽类来源于大型家禽供应场，并提供当天当批禽类《出县境动物检疫合格证明》，必须是送货前12小时内屠宰好的新鲜鸡、鸭、鹅。</w:t>
      </w:r>
    </w:p>
    <w:p w14:paraId="6065DFF4">
      <w:pPr>
        <w:spacing w:line="360" w:lineRule="auto"/>
        <w:ind w:firstLine="420"/>
        <w:rPr>
          <w:rFonts w:ascii="宋体" w:hAnsi="宋体" w:cs="宋体"/>
          <w:szCs w:val="21"/>
        </w:rPr>
      </w:pPr>
      <w:r>
        <w:rPr>
          <w:rFonts w:hint="eastAsia" w:ascii="宋体" w:hAnsi="宋体" w:cs="宋体"/>
          <w:szCs w:val="21"/>
        </w:rPr>
        <w:t>（十）水果类：形体饱满、色泽鲜嫩、无腐烂、无变质、无泥水、无农药超标等情况。</w:t>
      </w:r>
    </w:p>
    <w:p w14:paraId="5C06B39B">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对食材质量招投标文件约定或者有较高国家、行业标准要求的，以规定较高的标准为准。同时，食材运输应该符合招投标文件约定或者国家相关规定。未列明食材产品的质量管理要求，按照相关国家食品卫生安全或者行业质量标准执行。</w:t>
      </w:r>
    </w:p>
    <w:p w14:paraId="3FA060DF">
      <w:pPr>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十、违约责任</w:t>
      </w:r>
    </w:p>
    <w:p w14:paraId="0055C8D1">
      <w:pPr>
        <w:spacing w:line="360" w:lineRule="auto"/>
        <w:ind w:firstLine="420" w:firstLineChars="200"/>
        <w:jc w:val="left"/>
        <w:rPr>
          <w:rFonts w:ascii="宋体" w:hAnsi="宋体" w:cs="宋体"/>
          <w:b/>
          <w:color w:val="000000"/>
          <w:szCs w:val="21"/>
        </w:rPr>
      </w:pPr>
      <w:r>
        <w:rPr>
          <w:rFonts w:hint="eastAsia" w:ascii="宋体" w:hAnsi="宋体" w:cs="宋体"/>
          <w:color w:val="000000"/>
          <w:szCs w:val="21"/>
        </w:rPr>
        <w:t>（一）乙方在本合同履行期限出现以下情形之一的，甲方有权直接解除本合同并要求乙方承担合同支付上限5%的违约金，且无需承担违约责任：</w:t>
      </w:r>
    </w:p>
    <w:p w14:paraId="27F1ECD6">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1.未按采购需求、投标文件以及本合同要求全面履约，连续2个月履约考核评价为较差及以下的；</w:t>
      </w:r>
    </w:p>
    <w:p w14:paraId="3D86E3B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2.配送食材物品存在以次充好，存在严重质量问题的，一个月内达到2次的，或者未按规定出具检测报告一个月内达到3次的；</w:t>
      </w:r>
    </w:p>
    <w:p w14:paraId="6A8724A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3.因供应的货物质量达不到国家有关食品安全标准而造成食物中毒事故或其它严重后果的；</w:t>
      </w:r>
    </w:p>
    <w:p w14:paraId="3CE4B94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4..其他造成严重后果或恶劣影响的情形。</w:t>
      </w:r>
    </w:p>
    <w:p w14:paraId="3F48F5EC">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（二）乙方提供的服务不符合要求或者约定的，甲方有权拒收。发生迟延送货、未按计划采购配送等情况的违约责任，按照附件考评表执行。</w:t>
      </w:r>
    </w:p>
    <w:p w14:paraId="48D5B356">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（三）乙方所配送食品等物资造成甲方人员食物中毒或生命健康出现不良后果的，经相关部门确认后，所产生的一切民事责任、刑事责任和其他责任全部由乙方承担。发生上述情形时，甲方有权立即终止合同。</w:t>
      </w:r>
    </w:p>
    <w:p w14:paraId="5FF2604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（四）未经甲方书面同意，乙方不得将本合同项下全部或部分义务转让给任何第三人，否则甲方有权解除合同并扣除转让部分费用作为违约金。</w:t>
      </w:r>
    </w:p>
    <w:p w14:paraId="3798F930">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（五）因台风、暴雨严重自然灾害等不可抗力因素影响造成违约的，不承担责任，但违约方应在预见发生或者正在发生违约时，及时通知对方并立即采取补救措施。</w:t>
      </w:r>
    </w:p>
    <w:p w14:paraId="0F454F28">
      <w:pPr>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十一、履约考核与评价</w:t>
      </w:r>
    </w:p>
    <w:p w14:paraId="7ADE4ECA">
      <w:pPr>
        <w:pStyle w:val="38"/>
        <w:widowControl w:val="0"/>
        <w:spacing w:before="0" w:beforeAutospacing="0" w:after="0" w:afterAutospacing="0" w:line="360" w:lineRule="auto"/>
        <w:ind w:firstLine="420" w:firstLineChars="200"/>
        <w:jc w:val="both"/>
        <w:rPr>
          <w:sz w:val="21"/>
          <w:szCs w:val="21"/>
        </w:rPr>
      </w:pPr>
      <w:r>
        <w:rPr>
          <w:rFonts w:hint="eastAsia"/>
          <w:kern w:val="2"/>
          <w:sz w:val="21"/>
          <w:szCs w:val="21"/>
        </w:rPr>
        <w:t>甲方对乙方服务采用日常考核、月度考核及年度考评的动态考核评价机制。甲方对乙方的每日配送情况进行日常考核，对供货异常情况（包括物品质量、配送时间等）进行登记。月度考核采用量化评分方式进行，每月5日前根据上月的日常考核结果进行汇总考评并通报乙方。年度考评（合同期考评）以月度考核情况为依据，考评结果作为甲方是否续签合同的依据。</w:t>
      </w:r>
    </w:p>
    <w:p w14:paraId="3F7045D9">
      <w:pPr>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十二、其他约定</w:t>
      </w:r>
    </w:p>
    <w:p w14:paraId="4C0C7C3D">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（一）保密要求另行约定。</w:t>
      </w:r>
    </w:p>
    <w:p w14:paraId="16171786">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（二）该项目招投标文件相关要求和承诺构成本合同内容。本合同如有</w:t>
      </w:r>
      <w:r>
        <w:rPr>
          <w:rFonts w:hint="eastAsia" w:ascii="宋体" w:hAnsi="宋体" w:cs="宋体"/>
          <w:szCs w:val="21"/>
        </w:rPr>
        <w:t>未尽事宜，由甲乙双方协商确定</w:t>
      </w:r>
      <w:r>
        <w:rPr>
          <w:rFonts w:hint="eastAsia" w:ascii="宋体" w:hAnsi="宋体" w:cs="宋体"/>
          <w:color w:val="000000"/>
          <w:szCs w:val="21"/>
        </w:rPr>
        <w:t>。</w:t>
      </w:r>
    </w:p>
    <w:p w14:paraId="2BF4347D">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（三）若本合同发生争议，由甲乙双方协商解决；协商不成的，任何一方可向甲方所在地有管辖权的人民法院提起诉讼。</w:t>
      </w:r>
    </w:p>
    <w:p w14:paraId="244C0AA0">
      <w:pPr>
        <w:spacing w:line="360" w:lineRule="auto"/>
        <w:ind w:firstLine="420" w:firstLineChars="200"/>
        <w:jc w:val="left"/>
        <w:rPr>
          <w:rFonts w:ascii="宋体" w:hAnsi="宋体" w:cs="宋体"/>
          <w:szCs w:val="21"/>
        </w:rPr>
      </w:pPr>
      <w:r>
        <w:rPr>
          <w:rFonts w:hint="eastAsia" w:ascii="宋体" w:hAnsi="宋体" w:cs="宋体"/>
          <w:szCs w:val="21"/>
        </w:rPr>
        <w:t>（四）本合同经双方法定代表人（或授权代表）签字并加盖公章后生效。本合同一式四份，甲乙双方各持贰份，具同等法律效力。</w:t>
      </w:r>
    </w:p>
    <w:p w14:paraId="048610C1">
      <w:pPr>
        <w:spacing w:line="360" w:lineRule="auto"/>
        <w:ind w:firstLine="420" w:firstLineChars="200"/>
        <w:jc w:val="left"/>
        <w:rPr>
          <w:rFonts w:ascii="宋体" w:hAnsi="宋体" w:cs="宋体"/>
          <w:szCs w:val="21"/>
        </w:rPr>
      </w:pPr>
      <w:r>
        <w:rPr>
          <w:rFonts w:hint="eastAsia" w:ascii="宋体" w:hAnsi="宋体" w:cs="宋体"/>
          <w:szCs w:val="21"/>
        </w:rPr>
        <w:t>（五）本合同内容采购文件如有抵触之处，实质性条款以采购文件为准，非实质性条款生效时间在后的文件为准。</w:t>
      </w:r>
    </w:p>
    <w:p w14:paraId="3BCEAE8F">
      <w:pPr>
        <w:spacing w:line="360" w:lineRule="auto"/>
        <w:ind w:firstLine="420" w:firstLineChars="200"/>
        <w:jc w:val="left"/>
        <w:rPr>
          <w:rFonts w:ascii="宋体" w:hAnsi="宋体" w:cs="宋体"/>
          <w:szCs w:val="21"/>
        </w:rPr>
      </w:pPr>
      <w:r>
        <w:rPr>
          <w:rFonts w:hint="eastAsia" w:ascii="宋体" w:hAnsi="宋体" w:cs="宋体"/>
          <w:szCs w:val="21"/>
        </w:rPr>
        <w:t>（六）双方确认位于合同首部的送达地址适用范围包括双方非诉时各类通知、协议等文件以及就合同发生纠纷时法律文书和相关文件的送达。任何一方送达地址需要变更时应当提前3日书面通知对方，未履行通知义务，该地址仍视为有效送达地址。</w:t>
      </w:r>
    </w:p>
    <w:p w14:paraId="75FB9700">
      <w:pPr>
        <w:pStyle w:val="19"/>
        <w:rPr>
          <w:rFonts w:ascii="宋体" w:hAnsi="宋体" w:cs="宋体"/>
          <w:sz w:val="21"/>
          <w:szCs w:val="21"/>
        </w:rPr>
      </w:pPr>
    </w:p>
    <w:p w14:paraId="212FDB4E"/>
    <w:tbl>
      <w:tblPr>
        <w:tblStyle w:val="44"/>
        <w:tblW w:w="0" w:type="auto"/>
        <w:tblInd w:w="0" w:type="dxa"/>
        <w:tblLayout w:type="autofit"/>
        <w:tblCellMar>
          <w:top w:w="0" w:type="dxa"/>
          <w:left w:w="108" w:type="dxa"/>
          <w:bottom w:w="0" w:type="dxa"/>
          <w:right w:w="108" w:type="dxa"/>
        </w:tblCellMar>
      </w:tblPr>
      <w:tblGrid>
        <w:gridCol w:w="4530"/>
        <w:gridCol w:w="4530"/>
      </w:tblGrid>
      <w:tr w14:paraId="11ADF579">
        <w:tblPrEx>
          <w:tblCellMar>
            <w:top w:w="0" w:type="dxa"/>
            <w:left w:w="108" w:type="dxa"/>
            <w:bottom w:w="0" w:type="dxa"/>
            <w:right w:w="108" w:type="dxa"/>
          </w:tblCellMar>
        </w:tblPrEx>
        <w:trPr>
          <w:trHeight w:val="1069" w:hRule="atLeast"/>
        </w:trPr>
        <w:tc>
          <w:tcPr>
            <w:tcW w:w="4530" w:type="dxa"/>
            <w:shd w:val="clear" w:color="auto" w:fill="auto"/>
          </w:tcPr>
          <w:p w14:paraId="19DE38D8">
            <w:pPr>
              <w:widowControl/>
              <w:spacing w:line="560" w:lineRule="exact"/>
              <w:jc w:val="left"/>
              <w:rPr>
                <w:rFonts w:ascii="宋体" w:hAnsi="宋体" w:cs="宋体"/>
                <w:szCs w:val="21"/>
              </w:rPr>
            </w:pPr>
            <w:r>
              <w:rPr>
                <w:rFonts w:hint="eastAsia" w:ascii="宋体" w:hAnsi="宋体" w:cs="宋体"/>
                <w:szCs w:val="21"/>
              </w:rPr>
              <w:t>甲方（盖章）：</w:t>
            </w:r>
          </w:p>
          <w:p w14:paraId="3D747ACB">
            <w:pPr>
              <w:widowControl/>
              <w:spacing w:line="560" w:lineRule="exact"/>
              <w:jc w:val="left"/>
              <w:rPr>
                <w:rFonts w:ascii="宋体" w:hAnsi="宋体" w:cs="宋体"/>
                <w:szCs w:val="21"/>
              </w:rPr>
            </w:pPr>
          </w:p>
        </w:tc>
        <w:tc>
          <w:tcPr>
            <w:tcW w:w="4530" w:type="dxa"/>
            <w:shd w:val="clear" w:color="auto" w:fill="auto"/>
          </w:tcPr>
          <w:p w14:paraId="13BFB885">
            <w:pPr>
              <w:widowControl/>
              <w:spacing w:line="560" w:lineRule="exact"/>
              <w:jc w:val="left"/>
              <w:rPr>
                <w:rFonts w:ascii="宋体" w:hAnsi="宋体" w:cs="宋体"/>
                <w:szCs w:val="21"/>
              </w:rPr>
            </w:pPr>
            <w:r>
              <w:rPr>
                <w:rFonts w:hint="eastAsia" w:ascii="宋体" w:hAnsi="宋体" w:cs="宋体"/>
                <w:szCs w:val="21"/>
              </w:rPr>
              <w:t>乙方（盖章）：</w:t>
            </w:r>
          </w:p>
          <w:p w14:paraId="44779706">
            <w:pPr>
              <w:widowControl/>
              <w:spacing w:line="560" w:lineRule="exact"/>
              <w:jc w:val="left"/>
              <w:rPr>
                <w:rFonts w:ascii="宋体" w:hAnsi="宋体" w:cs="宋体"/>
                <w:szCs w:val="21"/>
              </w:rPr>
            </w:pPr>
          </w:p>
        </w:tc>
      </w:tr>
      <w:tr w14:paraId="5DC340CD">
        <w:tblPrEx>
          <w:tblCellMar>
            <w:top w:w="0" w:type="dxa"/>
            <w:left w:w="108" w:type="dxa"/>
            <w:bottom w:w="0" w:type="dxa"/>
            <w:right w:w="108" w:type="dxa"/>
          </w:tblCellMar>
        </w:tblPrEx>
        <w:trPr>
          <w:trHeight w:val="1595" w:hRule="atLeast"/>
        </w:trPr>
        <w:tc>
          <w:tcPr>
            <w:tcW w:w="4530" w:type="dxa"/>
            <w:shd w:val="clear" w:color="auto" w:fill="auto"/>
          </w:tcPr>
          <w:p w14:paraId="0C82F186">
            <w:pPr>
              <w:widowControl/>
              <w:spacing w:line="560" w:lineRule="exact"/>
              <w:jc w:val="left"/>
              <w:rPr>
                <w:rFonts w:ascii="宋体" w:hAnsi="宋体" w:cs="宋体"/>
                <w:szCs w:val="21"/>
              </w:rPr>
            </w:pPr>
            <w:r>
              <w:rPr>
                <w:rFonts w:hint="eastAsia" w:ascii="宋体" w:hAnsi="宋体" w:cs="宋体"/>
                <w:szCs w:val="21"/>
              </w:rPr>
              <w:t>法定代表人（授权代表）（签字）：</w:t>
            </w:r>
          </w:p>
        </w:tc>
        <w:tc>
          <w:tcPr>
            <w:tcW w:w="4530" w:type="dxa"/>
            <w:shd w:val="clear" w:color="auto" w:fill="auto"/>
          </w:tcPr>
          <w:p w14:paraId="5C397DD7">
            <w:pPr>
              <w:widowControl/>
              <w:spacing w:line="560" w:lineRule="exact"/>
              <w:jc w:val="left"/>
              <w:rPr>
                <w:rFonts w:ascii="宋体" w:hAnsi="宋体" w:cs="宋体"/>
                <w:szCs w:val="21"/>
              </w:rPr>
            </w:pPr>
            <w:r>
              <w:rPr>
                <w:rFonts w:hint="eastAsia" w:ascii="宋体" w:hAnsi="宋体" w:cs="宋体"/>
                <w:szCs w:val="21"/>
              </w:rPr>
              <w:t>法定代表人（授权代表）（签字）：</w:t>
            </w:r>
          </w:p>
        </w:tc>
      </w:tr>
      <w:tr w14:paraId="47676CBE">
        <w:tblPrEx>
          <w:tblCellMar>
            <w:top w:w="0" w:type="dxa"/>
            <w:left w:w="108" w:type="dxa"/>
            <w:bottom w:w="0" w:type="dxa"/>
            <w:right w:w="108" w:type="dxa"/>
          </w:tblCellMar>
        </w:tblPrEx>
        <w:trPr>
          <w:trHeight w:val="1058" w:hRule="atLeast"/>
        </w:trPr>
        <w:tc>
          <w:tcPr>
            <w:tcW w:w="4530" w:type="dxa"/>
            <w:shd w:val="clear" w:color="auto" w:fill="auto"/>
          </w:tcPr>
          <w:p w14:paraId="2BC52EDB">
            <w:pPr>
              <w:widowControl/>
              <w:spacing w:line="560" w:lineRule="exact"/>
              <w:jc w:val="left"/>
              <w:rPr>
                <w:rFonts w:ascii="宋体" w:hAnsi="宋体" w:cs="宋体"/>
                <w:szCs w:val="21"/>
              </w:rPr>
            </w:pPr>
            <w:r>
              <w:rPr>
                <w:rFonts w:hint="eastAsia" w:ascii="宋体" w:hAnsi="宋体" w:cs="宋体"/>
                <w:szCs w:val="21"/>
              </w:rPr>
              <w:t>日期：</w:t>
            </w:r>
          </w:p>
          <w:p w14:paraId="5B0B4402">
            <w:pPr>
              <w:widowControl/>
              <w:spacing w:line="560" w:lineRule="exact"/>
              <w:jc w:val="left"/>
              <w:rPr>
                <w:rFonts w:ascii="宋体" w:hAnsi="宋体" w:cs="宋体"/>
                <w:szCs w:val="21"/>
              </w:rPr>
            </w:pPr>
            <w:r>
              <w:rPr>
                <w:rFonts w:hint="eastAsia" w:ascii="宋体" w:hAnsi="宋体" w:cs="宋体"/>
                <w:szCs w:val="21"/>
              </w:rPr>
              <w:t xml:space="preserve">        年    月    日</w:t>
            </w:r>
          </w:p>
        </w:tc>
        <w:tc>
          <w:tcPr>
            <w:tcW w:w="4530" w:type="dxa"/>
            <w:shd w:val="clear" w:color="auto" w:fill="auto"/>
          </w:tcPr>
          <w:p w14:paraId="2A4C0EEC">
            <w:pPr>
              <w:widowControl/>
              <w:spacing w:line="560" w:lineRule="exact"/>
              <w:jc w:val="left"/>
              <w:rPr>
                <w:rFonts w:ascii="宋体" w:hAnsi="宋体" w:cs="宋体"/>
                <w:szCs w:val="21"/>
              </w:rPr>
            </w:pPr>
            <w:r>
              <w:rPr>
                <w:rFonts w:hint="eastAsia" w:ascii="宋体" w:hAnsi="宋体" w:cs="宋体"/>
                <w:szCs w:val="21"/>
              </w:rPr>
              <w:t>日期：</w:t>
            </w:r>
          </w:p>
          <w:p w14:paraId="3174A727">
            <w:pPr>
              <w:widowControl/>
              <w:spacing w:line="560" w:lineRule="exact"/>
              <w:ind w:firstLine="945" w:firstLineChars="450"/>
              <w:jc w:val="left"/>
              <w:rPr>
                <w:rFonts w:ascii="宋体" w:hAnsi="宋体" w:cs="宋体"/>
                <w:szCs w:val="21"/>
              </w:rPr>
            </w:pPr>
            <w:r>
              <w:rPr>
                <w:rFonts w:hint="eastAsia" w:ascii="宋体" w:hAnsi="宋体" w:cs="宋体"/>
                <w:szCs w:val="21"/>
              </w:rPr>
              <w:t>年    月    日</w:t>
            </w:r>
          </w:p>
        </w:tc>
      </w:tr>
    </w:tbl>
    <w:p w14:paraId="11423231">
      <w:pPr>
        <w:adjustRightInd w:val="0"/>
        <w:snapToGrid w:val="0"/>
        <w:spacing w:line="360" w:lineRule="auto"/>
        <w:rPr>
          <w:rFonts w:ascii="宋体" w:hAnsi="宋体" w:cs="华文仿宋"/>
          <w:sz w:val="28"/>
          <w:szCs w:val="28"/>
        </w:rPr>
      </w:pPr>
    </w:p>
    <w:p w14:paraId="22AF2C29">
      <w:pPr>
        <w:rPr>
          <w:rFonts w:ascii="黑体" w:eastAsia="黑体"/>
          <w:sz w:val="24"/>
          <w:szCs w:val="24"/>
        </w:rPr>
      </w:pPr>
      <w:r>
        <w:rPr>
          <w:rFonts w:hint="eastAsia" w:ascii="黑体" w:eastAsia="黑体"/>
          <w:sz w:val="24"/>
          <w:szCs w:val="24"/>
        </w:rPr>
        <w:br w:type="page"/>
      </w:r>
    </w:p>
    <w:p w14:paraId="3309F6F0">
      <w:pPr>
        <w:pStyle w:val="3"/>
        <w:spacing w:before="0"/>
        <w:jc w:val="center"/>
        <w:rPr>
          <w:rFonts w:ascii="黑体" w:eastAsia="黑体"/>
          <w:sz w:val="24"/>
          <w:szCs w:val="24"/>
        </w:rPr>
      </w:pPr>
      <w:r>
        <w:rPr>
          <w:rFonts w:hint="eastAsia" w:ascii="黑体" w:eastAsia="黑体"/>
          <w:sz w:val="24"/>
          <w:szCs w:val="24"/>
        </w:rPr>
        <w:t>二、政府采购履约情况反馈表</w:t>
      </w:r>
    </w:p>
    <w:p w14:paraId="253A29D9">
      <w:pPr>
        <w:spacing w:line="240" w:lineRule="atLeast"/>
        <w:rPr>
          <w:rFonts w:ascii="宋体" w:hAnsi="宋体"/>
          <w:b/>
          <w:szCs w:val="21"/>
        </w:rPr>
      </w:pPr>
      <w:r>
        <w:rPr>
          <w:rFonts w:hint="eastAsia" w:ascii="宋体" w:hAnsi="宋体"/>
          <w:b/>
          <w:szCs w:val="21"/>
        </w:rPr>
        <w:t>采购人名称：                       联系人及电话：</w:t>
      </w:r>
    </w:p>
    <w:p w14:paraId="60D4F9FA">
      <w:pPr>
        <w:spacing w:line="60" w:lineRule="exact"/>
        <w:rPr>
          <w:rFonts w:ascii="宋体" w:hAnsi="宋体"/>
          <w:b/>
          <w:szCs w:val="21"/>
        </w:rPr>
      </w:pPr>
    </w:p>
    <w:tbl>
      <w:tblPr>
        <w:tblStyle w:val="4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0A2DA2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55132972">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14:paraId="029E4DB2">
            <w:pPr>
              <w:spacing w:line="240" w:lineRule="atLeast"/>
              <w:jc w:val="center"/>
              <w:rPr>
                <w:rFonts w:ascii="宋体" w:hAnsi="宋体"/>
                <w:szCs w:val="21"/>
              </w:rPr>
            </w:pPr>
          </w:p>
        </w:tc>
        <w:tc>
          <w:tcPr>
            <w:tcW w:w="1980" w:type="dxa"/>
            <w:vAlign w:val="center"/>
          </w:tcPr>
          <w:p w14:paraId="7B7CAC35">
            <w:pPr>
              <w:spacing w:line="240" w:lineRule="atLeast"/>
              <w:jc w:val="center"/>
              <w:rPr>
                <w:rFonts w:ascii="宋体" w:hAnsi="宋体"/>
                <w:szCs w:val="21"/>
              </w:rPr>
            </w:pPr>
            <w:r>
              <w:rPr>
                <w:rFonts w:hint="eastAsia" w:ascii="宋体" w:hAnsi="宋体"/>
                <w:szCs w:val="21"/>
              </w:rPr>
              <w:t>项目编号</w:t>
            </w:r>
          </w:p>
        </w:tc>
        <w:tc>
          <w:tcPr>
            <w:tcW w:w="2135" w:type="dxa"/>
            <w:vAlign w:val="center"/>
          </w:tcPr>
          <w:p w14:paraId="071DAAFB">
            <w:pPr>
              <w:spacing w:line="240" w:lineRule="atLeast"/>
              <w:jc w:val="center"/>
              <w:rPr>
                <w:rFonts w:ascii="宋体" w:hAnsi="宋体"/>
                <w:szCs w:val="21"/>
              </w:rPr>
            </w:pPr>
          </w:p>
        </w:tc>
      </w:tr>
      <w:tr w14:paraId="677A08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2C358240">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14:paraId="00EA3A3F">
            <w:pPr>
              <w:spacing w:line="240" w:lineRule="atLeast"/>
              <w:jc w:val="center"/>
              <w:rPr>
                <w:rFonts w:ascii="宋体" w:hAnsi="宋体"/>
                <w:szCs w:val="21"/>
              </w:rPr>
            </w:pPr>
          </w:p>
        </w:tc>
        <w:tc>
          <w:tcPr>
            <w:tcW w:w="1980" w:type="dxa"/>
            <w:vAlign w:val="center"/>
          </w:tcPr>
          <w:p w14:paraId="4BB58961">
            <w:pPr>
              <w:spacing w:line="240" w:lineRule="atLeast"/>
              <w:jc w:val="center"/>
              <w:rPr>
                <w:rFonts w:ascii="宋体" w:hAnsi="宋体"/>
                <w:szCs w:val="21"/>
              </w:rPr>
            </w:pPr>
            <w:r>
              <w:rPr>
                <w:rFonts w:hint="eastAsia" w:ascii="宋体" w:hAnsi="宋体"/>
                <w:szCs w:val="21"/>
              </w:rPr>
              <w:t>供应商</w:t>
            </w:r>
          </w:p>
          <w:p w14:paraId="6A838362">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14:paraId="32E6617B">
            <w:pPr>
              <w:spacing w:line="240" w:lineRule="atLeast"/>
              <w:jc w:val="center"/>
              <w:rPr>
                <w:rFonts w:ascii="宋体" w:hAnsi="宋体"/>
                <w:szCs w:val="21"/>
              </w:rPr>
            </w:pPr>
          </w:p>
        </w:tc>
      </w:tr>
      <w:tr w14:paraId="1C36EA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14F281E7">
            <w:pPr>
              <w:spacing w:line="240" w:lineRule="atLeast"/>
              <w:jc w:val="center"/>
              <w:rPr>
                <w:rFonts w:ascii="宋体" w:hAnsi="宋体"/>
                <w:szCs w:val="21"/>
              </w:rPr>
            </w:pPr>
            <w:r>
              <w:rPr>
                <w:rFonts w:hint="eastAsia" w:ascii="宋体" w:hAnsi="宋体"/>
                <w:szCs w:val="21"/>
              </w:rPr>
              <w:t>中标金额</w:t>
            </w:r>
          </w:p>
        </w:tc>
        <w:tc>
          <w:tcPr>
            <w:tcW w:w="2520" w:type="dxa"/>
            <w:vAlign w:val="center"/>
          </w:tcPr>
          <w:p w14:paraId="12E50BFC">
            <w:pPr>
              <w:spacing w:line="240" w:lineRule="atLeast"/>
              <w:jc w:val="center"/>
              <w:rPr>
                <w:rFonts w:ascii="宋体" w:hAnsi="宋体"/>
                <w:szCs w:val="21"/>
              </w:rPr>
            </w:pPr>
          </w:p>
        </w:tc>
        <w:tc>
          <w:tcPr>
            <w:tcW w:w="1980" w:type="dxa"/>
            <w:vAlign w:val="center"/>
          </w:tcPr>
          <w:p w14:paraId="218B681F">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14:paraId="035EC65E">
            <w:pPr>
              <w:spacing w:line="240" w:lineRule="atLeast"/>
              <w:rPr>
                <w:rFonts w:ascii="宋体" w:hAnsi="宋体"/>
                <w:szCs w:val="21"/>
              </w:rPr>
            </w:pPr>
            <w:r>
              <w:rPr>
                <w:rFonts w:hint="eastAsia" w:ascii="宋体" w:hAnsi="宋体"/>
                <w:szCs w:val="21"/>
              </w:rPr>
              <w:t>自       至</w:t>
            </w:r>
          </w:p>
        </w:tc>
      </w:tr>
      <w:tr w14:paraId="7F43B1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25D67542">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14:paraId="1F266314">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14:paraId="0B75116D">
            <w:pPr>
              <w:spacing w:line="240" w:lineRule="atLeast"/>
              <w:ind w:firstLine="105" w:firstLineChars="50"/>
              <w:jc w:val="center"/>
              <w:rPr>
                <w:rFonts w:ascii="宋体" w:hAnsi="宋体"/>
                <w:szCs w:val="21"/>
              </w:rPr>
            </w:pPr>
            <w:r>
              <w:rPr>
                <w:rFonts w:hint="eastAsia" w:ascii="宋体" w:hAnsi="宋体"/>
                <w:szCs w:val="21"/>
              </w:rPr>
              <w:t>□ 优          □ 良          □ 中           □ 差</w:t>
            </w:r>
          </w:p>
        </w:tc>
      </w:tr>
      <w:tr w14:paraId="15A03E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5E0AD17">
            <w:pPr>
              <w:spacing w:line="240" w:lineRule="atLeast"/>
              <w:jc w:val="center"/>
              <w:rPr>
                <w:rFonts w:ascii="宋体" w:hAnsi="宋体"/>
                <w:szCs w:val="21"/>
              </w:rPr>
            </w:pPr>
          </w:p>
        </w:tc>
        <w:tc>
          <w:tcPr>
            <w:tcW w:w="720" w:type="dxa"/>
            <w:vMerge w:val="restart"/>
            <w:tcBorders>
              <w:right w:val="single" w:color="auto" w:sz="4" w:space="0"/>
            </w:tcBorders>
            <w:vAlign w:val="center"/>
          </w:tcPr>
          <w:p w14:paraId="74E00167">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14:paraId="58FFBB3E">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14:paraId="2880FF9A">
            <w:pPr>
              <w:spacing w:line="240" w:lineRule="atLeast"/>
              <w:jc w:val="center"/>
              <w:rPr>
                <w:rFonts w:ascii="宋体" w:hAnsi="宋体"/>
                <w:szCs w:val="21"/>
              </w:rPr>
            </w:pPr>
            <w:r>
              <w:rPr>
                <w:rFonts w:hint="eastAsia" w:ascii="宋体" w:hAnsi="宋体"/>
                <w:szCs w:val="21"/>
              </w:rPr>
              <w:t xml:space="preserve"> □ 优          □ 良          □ 中           □ 差</w:t>
            </w:r>
          </w:p>
        </w:tc>
      </w:tr>
      <w:tr w14:paraId="7F6040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4A03A49">
            <w:pPr>
              <w:spacing w:line="240" w:lineRule="atLeast"/>
              <w:jc w:val="center"/>
              <w:rPr>
                <w:rFonts w:ascii="宋体" w:hAnsi="宋体"/>
                <w:szCs w:val="21"/>
              </w:rPr>
            </w:pPr>
          </w:p>
        </w:tc>
        <w:tc>
          <w:tcPr>
            <w:tcW w:w="720" w:type="dxa"/>
            <w:vMerge w:val="continue"/>
            <w:tcBorders>
              <w:right w:val="single" w:color="auto" w:sz="4" w:space="0"/>
            </w:tcBorders>
            <w:vAlign w:val="center"/>
          </w:tcPr>
          <w:p w14:paraId="6DF759BE">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0949D423">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14:paraId="0030F57C">
            <w:pPr>
              <w:spacing w:line="240" w:lineRule="atLeast"/>
              <w:jc w:val="center"/>
              <w:rPr>
                <w:rFonts w:ascii="宋体" w:hAnsi="宋体"/>
                <w:szCs w:val="21"/>
              </w:rPr>
            </w:pPr>
            <w:r>
              <w:rPr>
                <w:rFonts w:hint="eastAsia" w:ascii="宋体" w:hAnsi="宋体"/>
                <w:szCs w:val="21"/>
              </w:rPr>
              <w:t xml:space="preserve"> □ 优          □ 良          □ 中           □ 差</w:t>
            </w:r>
          </w:p>
        </w:tc>
      </w:tr>
      <w:tr w14:paraId="78D25C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03DF129">
            <w:pPr>
              <w:spacing w:line="240" w:lineRule="atLeast"/>
              <w:jc w:val="center"/>
              <w:rPr>
                <w:rFonts w:ascii="宋体" w:hAnsi="宋体"/>
                <w:szCs w:val="21"/>
              </w:rPr>
            </w:pPr>
          </w:p>
        </w:tc>
        <w:tc>
          <w:tcPr>
            <w:tcW w:w="720" w:type="dxa"/>
            <w:vMerge w:val="continue"/>
            <w:tcBorders>
              <w:right w:val="single" w:color="auto" w:sz="4" w:space="0"/>
            </w:tcBorders>
            <w:vAlign w:val="center"/>
          </w:tcPr>
          <w:p w14:paraId="474EF1FC">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6A393681">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14:paraId="25B31A4E">
            <w:pPr>
              <w:spacing w:line="240" w:lineRule="atLeast"/>
              <w:jc w:val="center"/>
              <w:rPr>
                <w:rFonts w:ascii="宋体" w:hAnsi="宋体"/>
                <w:szCs w:val="21"/>
              </w:rPr>
            </w:pPr>
            <w:r>
              <w:rPr>
                <w:rFonts w:hint="eastAsia" w:ascii="宋体" w:hAnsi="宋体"/>
                <w:szCs w:val="21"/>
              </w:rPr>
              <w:t xml:space="preserve"> □ 优          □ 良          □ 中           □ 差</w:t>
            </w:r>
          </w:p>
        </w:tc>
      </w:tr>
      <w:tr w14:paraId="362FD5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054CC29">
            <w:pPr>
              <w:spacing w:line="240" w:lineRule="atLeast"/>
              <w:jc w:val="center"/>
              <w:rPr>
                <w:rFonts w:ascii="宋体" w:hAnsi="宋体"/>
                <w:szCs w:val="21"/>
              </w:rPr>
            </w:pPr>
          </w:p>
        </w:tc>
        <w:tc>
          <w:tcPr>
            <w:tcW w:w="720" w:type="dxa"/>
            <w:vMerge w:val="continue"/>
            <w:tcBorders>
              <w:right w:val="single" w:color="auto" w:sz="4" w:space="0"/>
            </w:tcBorders>
            <w:vAlign w:val="center"/>
          </w:tcPr>
          <w:p w14:paraId="14B6E46A">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6D622608">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14:paraId="3A5ED7A6">
            <w:pPr>
              <w:spacing w:line="240" w:lineRule="atLeast"/>
              <w:jc w:val="center"/>
              <w:rPr>
                <w:rFonts w:ascii="宋体" w:hAnsi="宋体"/>
                <w:szCs w:val="21"/>
              </w:rPr>
            </w:pPr>
            <w:r>
              <w:rPr>
                <w:rFonts w:hint="eastAsia" w:ascii="宋体" w:hAnsi="宋体"/>
                <w:szCs w:val="21"/>
              </w:rPr>
              <w:t xml:space="preserve"> □ 优          □ 良          □ 中           □ 差</w:t>
            </w:r>
          </w:p>
        </w:tc>
      </w:tr>
      <w:tr w14:paraId="7CDE61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F9282D7">
            <w:pPr>
              <w:spacing w:line="240" w:lineRule="atLeast"/>
              <w:jc w:val="center"/>
              <w:rPr>
                <w:rFonts w:ascii="宋体" w:hAnsi="宋体"/>
                <w:szCs w:val="21"/>
              </w:rPr>
            </w:pPr>
          </w:p>
        </w:tc>
        <w:tc>
          <w:tcPr>
            <w:tcW w:w="720" w:type="dxa"/>
            <w:vMerge w:val="continue"/>
            <w:tcBorders>
              <w:right w:val="single" w:color="auto" w:sz="4" w:space="0"/>
            </w:tcBorders>
            <w:vAlign w:val="center"/>
          </w:tcPr>
          <w:p w14:paraId="746B3CF4">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751C0322">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14:paraId="4345A536">
            <w:pPr>
              <w:spacing w:line="240" w:lineRule="atLeast"/>
              <w:jc w:val="center"/>
              <w:rPr>
                <w:rFonts w:ascii="宋体" w:hAnsi="宋体"/>
                <w:szCs w:val="21"/>
              </w:rPr>
            </w:pPr>
            <w:r>
              <w:rPr>
                <w:rFonts w:hint="eastAsia" w:ascii="宋体" w:hAnsi="宋体"/>
                <w:szCs w:val="21"/>
              </w:rPr>
              <w:t xml:space="preserve"> □ 优          □ 良          □ 中           □ 差</w:t>
            </w:r>
          </w:p>
        </w:tc>
      </w:tr>
      <w:tr w14:paraId="6AD8F2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FCD8E3D">
            <w:pPr>
              <w:spacing w:line="240" w:lineRule="atLeast"/>
              <w:jc w:val="center"/>
              <w:rPr>
                <w:rFonts w:ascii="宋体" w:hAnsi="宋体"/>
                <w:szCs w:val="21"/>
              </w:rPr>
            </w:pPr>
          </w:p>
        </w:tc>
        <w:tc>
          <w:tcPr>
            <w:tcW w:w="720" w:type="dxa"/>
            <w:vMerge w:val="continue"/>
            <w:tcBorders>
              <w:right w:val="single" w:color="auto" w:sz="4" w:space="0"/>
            </w:tcBorders>
            <w:vAlign w:val="center"/>
          </w:tcPr>
          <w:p w14:paraId="605CF600">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A077363">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14:paraId="25699166">
            <w:pPr>
              <w:spacing w:before="156" w:beforeLines="50" w:after="156"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14:paraId="2786681C">
            <w:pPr>
              <w:spacing w:before="156" w:beforeLines="50" w:after="156" w:afterLines="50" w:line="240" w:lineRule="atLeast"/>
              <w:rPr>
                <w:rFonts w:ascii="宋体" w:hAnsi="宋体"/>
                <w:szCs w:val="21"/>
              </w:rPr>
            </w:pPr>
            <w:r>
              <w:rPr>
                <w:rFonts w:hint="eastAsia" w:ascii="宋体" w:hAnsi="宋体"/>
                <w:szCs w:val="21"/>
              </w:rPr>
              <w:t>评价等级为：  □ 优       □ 良        □ 中         □ 差</w:t>
            </w:r>
          </w:p>
        </w:tc>
      </w:tr>
      <w:tr w14:paraId="42C854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14:paraId="6627738A">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14:paraId="7CB5A805">
            <w:pPr>
              <w:spacing w:line="240" w:lineRule="atLeast"/>
              <w:rPr>
                <w:rFonts w:ascii="宋体" w:hAnsi="宋体"/>
                <w:szCs w:val="21"/>
              </w:rPr>
            </w:pPr>
          </w:p>
          <w:p w14:paraId="2A635F5E">
            <w:pPr>
              <w:spacing w:line="240" w:lineRule="atLeast"/>
              <w:rPr>
                <w:rFonts w:ascii="宋体" w:hAnsi="宋体"/>
                <w:szCs w:val="21"/>
              </w:rPr>
            </w:pPr>
          </w:p>
          <w:p w14:paraId="5F1D322D">
            <w:pPr>
              <w:spacing w:line="240" w:lineRule="atLeast"/>
              <w:rPr>
                <w:rFonts w:ascii="宋体" w:hAnsi="宋体"/>
                <w:szCs w:val="21"/>
              </w:rPr>
            </w:pPr>
          </w:p>
          <w:p w14:paraId="50265BFE">
            <w:pPr>
              <w:spacing w:line="240" w:lineRule="atLeast"/>
              <w:rPr>
                <w:rFonts w:ascii="宋体" w:hAnsi="宋体"/>
                <w:szCs w:val="21"/>
              </w:rPr>
            </w:pPr>
          </w:p>
          <w:p w14:paraId="26CAC19C">
            <w:pPr>
              <w:spacing w:line="240" w:lineRule="atLeast"/>
              <w:rPr>
                <w:rFonts w:ascii="宋体" w:hAnsi="宋体"/>
                <w:szCs w:val="21"/>
              </w:rPr>
            </w:pPr>
          </w:p>
          <w:p w14:paraId="3EA1F326">
            <w:pPr>
              <w:spacing w:line="240" w:lineRule="atLeast"/>
              <w:rPr>
                <w:rFonts w:ascii="宋体" w:hAnsi="宋体"/>
                <w:szCs w:val="21"/>
              </w:rPr>
            </w:pPr>
          </w:p>
          <w:p w14:paraId="05F4CDB9">
            <w:pPr>
              <w:spacing w:line="240" w:lineRule="atLeast"/>
              <w:rPr>
                <w:rFonts w:ascii="宋体" w:hAnsi="宋体"/>
                <w:szCs w:val="21"/>
              </w:rPr>
            </w:pPr>
          </w:p>
          <w:p w14:paraId="761BDB74">
            <w:pPr>
              <w:spacing w:line="240" w:lineRule="atLeast"/>
              <w:rPr>
                <w:rFonts w:ascii="宋体" w:hAnsi="宋体"/>
                <w:szCs w:val="21"/>
              </w:rPr>
            </w:pPr>
          </w:p>
        </w:tc>
      </w:tr>
      <w:tr w14:paraId="56D129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1562" w:type="dxa"/>
            <w:gridSpan w:val="2"/>
            <w:vAlign w:val="center"/>
          </w:tcPr>
          <w:p w14:paraId="076AD444">
            <w:pPr>
              <w:spacing w:line="240" w:lineRule="atLeast"/>
              <w:jc w:val="center"/>
              <w:rPr>
                <w:rFonts w:ascii="宋体" w:hAnsi="宋体"/>
                <w:szCs w:val="21"/>
              </w:rPr>
            </w:pPr>
            <w:r>
              <w:rPr>
                <w:rFonts w:hint="eastAsia" w:ascii="宋体" w:hAnsi="宋体"/>
                <w:szCs w:val="21"/>
              </w:rPr>
              <w:t>采购人意见</w:t>
            </w:r>
          </w:p>
          <w:p w14:paraId="74784B2D">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14:paraId="288B7D07">
            <w:pPr>
              <w:spacing w:line="240" w:lineRule="atLeast"/>
              <w:rPr>
                <w:rFonts w:ascii="宋体" w:hAnsi="宋体"/>
                <w:szCs w:val="21"/>
              </w:rPr>
            </w:pPr>
          </w:p>
          <w:p w14:paraId="6E1A806F">
            <w:pPr>
              <w:spacing w:line="240" w:lineRule="atLeast"/>
              <w:rPr>
                <w:rFonts w:ascii="宋体" w:hAnsi="宋体"/>
                <w:szCs w:val="21"/>
              </w:rPr>
            </w:pPr>
            <w:r>
              <w:rPr>
                <w:rFonts w:hint="eastAsia" w:ascii="宋体" w:hAnsi="宋体"/>
                <w:szCs w:val="21"/>
              </w:rPr>
              <w:t xml:space="preserve">                                        </w:t>
            </w:r>
          </w:p>
          <w:p w14:paraId="6406771B">
            <w:pPr>
              <w:spacing w:line="240" w:lineRule="atLeast"/>
              <w:ind w:firstLine="3780" w:firstLineChars="1800"/>
              <w:rPr>
                <w:rFonts w:ascii="宋体" w:hAnsi="宋体"/>
                <w:szCs w:val="21"/>
              </w:rPr>
            </w:pPr>
          </w:p>
          <w:p w14:paraId="4AAA56BC">
            <w:pPr>
              <w:spacing w:line="240" w:lineRule="atLeast"/>
              <w:ind w:firstLine="3780" w:firstLineChars="1800"/>
              <w:rPr>
                <w:rFonts w:ascii="宋体" w:hAnsi="宋体"/>
                <w:szCs w:val="21"/>
              </w:rPr>
            </w:pPr>
            <w:r>
              <w:rPr>
                <w:rFonts w:hint="eastAsia" w:ascii="宋体" w:hAnsi="宋体"/>
                <w:szCs w:val="21"/>
              </w:rPr>
              <w:t>日期：   年   月   日</w:t>
            </w:r>
          </w:p>
        </w:tc>
      </w:tr>
    </w:tbl>
    <w:p w14:paraId="1A2DB585">
      <w:pPr>
        <w:spacing w:line="240" w:lineRule="atLeast"/>
        <w:rPr>
          <w:rFonts w:ascii="宋体" w:hAnsi="宋体"/>
          <w:szCs w:val="21"/>
        </w:rPr>
      </w:pPr>
      <w:r>
        <w:rPr>
          <w:rFonts w:hint="eastAsia" w:ascii="宋体" w:hAnsi="宋体"/>
          <w:szCs w:val="21"/>
        </w:rPr>
        <w:t>说明：</w:t>
      </w:r>
    </w:p>
    <w:p w14:paraId="1BCACF3B">
      <w:pPr>
        <w:spacing w:line="240" w:lineRule="atLeast"/>
        <w:rPr>
          <w:rFonts w:ascii="宋体" w:hAnsi="宋体"/>
          <w:szCs w:val="21"/>
        </w:rPr>
      </w:pPr>
      <w:r>
        <w:rPr>
          <w:rFonts w:hint="eastAsia" w:ascii="宋体" w:hAnsi="宋体"/>
          <w:szCs w:val="21"/>
        </w:rPr>
        <w:t>履约情况评价分为优、良、中、差四个等级，请在对应的框前打“√”，然后在“具体情况说明”一栏详细说明有关情况。</w:t>
      </w:r>
      <w:r>
        <w:rPr>
          <w:rFonts w:ascii="宋体" w:hAnsi="宋体"/>
          <w:szCs w:val="21"/>
        </w:rPr>
        <w:tab/>
      </w:r>
      <w:r>
        <w:rPr>
          <w:rFonts w:ascii="宋体" w:hAnsi="宋体"/>
          <w:szCs w:val="21"/>
        </w:rPr>
        <w:tab/>
      </w:r>
    </w:p>
    <w:p w14:paraId="5D13CF5B">
      <w:pPr>
        <w:spacing w:line="240" w:lineRule="atLeast"/>
        <w:rPr>
          <w:rFonts w:ascii="宋体" w:hAnsi="宋体"/>
          <w:szCs w:val="21"/>
        </w:rPr>
        <w:sectPr>
          <w:footerReference r:id="rId3" w:type="default"/>
          <w:pgSz w:w="11906" w:h="16838"/>
          <w:pgMar w:top="1440" w:right="1417" w:bottom="1440" w:left="1417" w:header="851" w:footer="992" w:gutter="0"/>
          <w:cols w:space="720" w:num="1"/>
          <w:titlePg/>
          <w:docGrid w:type="lines" w:linePitch="312" w:charSpace="0"/>
        </w:sectPr>
      </w:pPr>
    </w:p>
    <w:p w14:paraId="0F6556FB">
      <w:pPr>
        <w:jc w:val="center"/>
        <w:rPr>
          <w:rFonts w:ascii="宋体" w:hAnsi="宋体"/>
          <w:b/>
          <w:bCs/>
          <w:kern w:val="0"/>
          <w:sz w:val="24"/>
          <w:szCs w:val="20"/>
        </w:rPr>
      </w:pPr>
      <w:r>
        <w:rPr>
          <w:rFonts w:hint="eastAsia" w:ascii="宋体" w:hAnsi="宋体"/>
          <w:b/>
          <w:bCs/>
          <w:kern w:val="0"/>
          <w:sz w:val="24"/>
          <w:szCs w:val="20"/>
        </w:rPr>
        <w:t>第五章  附件</w:t>
      </w:r>
    </w:p>
    <w:p w14:paraId="13AEFFEE">
      <w:pPr>
        <w:jc w:val="center"/>
        <w:rPr>
          <w:rFonts w:ascii="宋体" w:hAnsi="宋体"/>
          <w:b/>
          <w:bCs/>
          <w:kern w:val="0"/>
          <w:sz w:val="24"/>
          <w:szCs w:val="20"/>
        </w:rPr>
      </w:pPr>
    </w:p>
    <w:p w14:paraId="46BA196E">
      <w:pPr>
        <w:pStyle w:val="3"/>
        <w:spacing w:before="0" w:after="0"/>
        <w:jc w:val="center"/>
      </w:pPr>
      <w:bookmarkStart w:id="20" w:name="_Toc73613644"/>
      <w:bookmarkStart w:id="21" w:name="_Toc73610162"/>
      <w:r>
        <w:rPr>
          <w:rFonts w:hint="eastAsia"/>
        </w:rPr>
        <w:t>一、财政部 工业和信息化部关于印发《政府采购促进中小企业发展管理办法》的通知</w:t>
      </w:r>
      <w:bookmarkEnd w:id="20"/>
      <w:bookmarkEnd w:id="21"/>
    </w:p>
    <w:p w14:paraId="3DC56032">
      <w:pPr>
        <w:pStyle w:val="3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14:paraId="29177B90">
      <w:pPr>
        <w:pStyle w:val="3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14:paraId="6D6458F5">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F84730C">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14:paraId="0A6E6048">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14:paraId="0C253A52">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14:paraId="1CA6EF76">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14:paraId="736BA294">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5FAF91D3">
      <w:pPr>
        <w:pStyle w:val="3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14:paraId="7134846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76B7FDDD">
      <w:pPr>
        <w:pStyle w:val="38"/>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14:paraId="14E770E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0E496658">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14:paraId="57AB0775">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6ACC89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14:paraId="1FFF42B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14:paraId="489340A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14:paraId="61D1323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14:paraId="4A68442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14:paraId="1C8BF135">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14:paraId="32D06C0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14:paraId="2713795E">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14:paraId="06A5045F">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18B99E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60965CC">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14:paraId="2E84F6C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14:paraId="2EBA095A">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14:paraId="754F34C2">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14:paraId="7AE6FAF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14:paraId="7C37D1BA">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14:paraId="2960C51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14:paraId="397EEADB">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14:paraId="4147833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AB41F65">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14:paraId="6D47B5D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14:paraId="791AAF1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14:paraId="6A80BD8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14:paraId="7CAA9D3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6A32CF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5C9F952">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5C1851C">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B7FFE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1197264C">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14:paraId="792D596C">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14:paraId="0F152FE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14:paraId="21E5AE5D">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14:paraId="5B0A5D3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14:paraId="7489AAFD">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14:paraId="66DD614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14:paraId="3E3888DA">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14:paraId="23F1A486">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14:paraId="7381C8E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14:paraId="331F1FC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B12C78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06566D32">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5F097445">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14:paraId="6A54610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29467174">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FEB9A6D">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C9DA192">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14:paraId="76BA6252">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23096D92">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973469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14:paraId="1FFB18B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14:paraId="21A5922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14:paraId="2FD03AFB">
      <w:pPr>
        <w:pStyle w:val="3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14:paraId="216EF408">
      <w:pPr>
        <w:pStyle w:val="3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14:paraId="3D7A329D">
      <w:pPr>
        <w:spacing w:line="360" w:lineRule="auto"/>
        <w:rPr>
          <w:rFonts w:asciiTheme="minorEastAsia" w:hAnsiTheme="minorEastAsia" w:eastAsiaTheme="minorEastAsia"/>
          <w:szCs w:val="21"/>
        </w:rPr>
      </w:pPr>
    </w:p>
    <w:p w14:paraId="361EA5AE">
      <w:pPr>
        <w:pStyle w:val="3"/>
        <w:spacing w:before="0" w:after="0"/>
        <w:jc w:val="center"/>
      </w:pPr>
      <w:bookmarkStart w:id="22" w:name="_Toc73610163"/>
      <w:bookmarkStart w:id="23" w:name="_Toc73613645"/>
      <w:r>
        <w:rPr>
          <w:rFonts w:hint="eastAsia"/>
        </w:rPr>
        <w:t>二、关于印发中小企业划型标准规定的通知</w:t>
      </w:r>
      <w:bookmarkEnd w:id="22"/>
      <w:bookmarkEnd w:id="23"/>
    </w:p>
    <w:p w14:paraId="4F439826">
      <w:pPr>
        <w:pStyle w:val="3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14:paraId="680AD63A">
      <w:pPr>
        <w:pStyle w:val="3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CD01CEF">
      <w:pPr>
        <w:pStyle w:val="38"/>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14:paraId="5B68AA01">
      <w:pPr>
        <w:pStyle w:val="38"/>
        <w:shd w:val="clear" w:color="auto" w:fill="FFFFFF"/>
        <w:spacing w:line="360" w:lineRule="auto"/>
        <w:jc w:val="center"/>
        <w:rPr>
          <w:rFonts w:asciiTheme="minorEastAsia" w:hAnsiTheme="minorEastAsia" w:eastAsiaTheme="minorEastAsia"/>
          <w:color w:val="000000"/>
          <w:sz w:val="21"/>
          <w:szCs w:val="21"/>
        </w:rPr>
      </w:pPr>
      <w:r>
        <w:rPr>
          <w:rStyle w:val="47"/>
          <w:rFonts w:hint="eastAsia" w:asciiTheme="minorEastAsia" w:hAnsiTheme="minorEastAsia" w:eastAsiaTheme="minorEastAsia"/>
          <w:color w:val="000000"/>
          <w:sz w:val="21"/>
          <w:szCs w:val="21"/>
        </w:rPr>
        <w:t>中小企业划型标准规定</w:t>
      </w:r>
    </w:p>
    <w:p w14:paraId="7BABCAF0">
      <w:pPr>
        <w:pStyle w:val="3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14:paraId="1DB881DD">
      <w:pPr>
        <w:pStyle w:val="38"/>
        <w:shd w:val="clear" w:color="auto" w:fill="FFFFFF"/>
        <w:spacing w:line="360" w:lineRule="auto"/>
        <w:rPr>
          <w:rFonts w:asciiTheme="minorEastAsia" w:hAnsiTheme="minorEastAsia" w:eastAsiaTheme="minorEastAsia"/>
          <w:color w:val="000000"/>
          <w:sz w:val="21"/>
          <w:szCs w:val="21"/>
        </w:rPr>
      </w:pPr>
    </w:p>
    <w:p w14:paraId="722DD920">
      <w:pPr>
        <w:pStyle w:val="3"/>
        <w:spacing w:before="0" w:after="0"/>
        <w:jc w:val="center"/>
        <w:rPr>
          <w:rFonts w:asciiTheme="minorEastAsia" w:hAnsiTheme="minorEastAsia" w:eastAsiaTheme="minorEastAsia"/>
        </w:rPr>
      </w:pPr>
      <w:bookmarkStart w:id="24" w:name="_Toc73610164"/>
      <w:bookmarkStart w:id="25" w:name="_Toc73613646"/>
      <w:r>
        <w:rPr>
          <w:rFonts w:hint="eastAsia" w:asciiTheme="minorEastAsia" w:hAnsiTheme="minorEastAsia" w:eastAsiaTheme="minorEastAsia"/>
        </w:rPr>
        <w:t>三、</w:t>
      </w:r>
      <w:r>
        <w:rPr>
          <w:rFonts w:asciiTheme="minorEastAsia" w:hAnsiTheme="minorEastAsia" w:eastAsiaTheme="minorEastAsia"/>
        </w:rPr>
        <w:t>国家统计局关于印发《统计上大中小微型企业划分办法 （2017）》的通知</w:t>
      </w:r>
      <w:bookmarkEnd w:id="24"/>
      <w:bookmarkEnd w:id="25"/>
      <w:r>
        <w:rPr>
          <w:rFonts w:asciiTheme="minorEastAsia" w:hAnsiTheme="minorEastAsia" w:eastAsiaTheme="minorEastAsia"/>
        </w:rPr>
        <w:t> </w:t>
      </w:r>
    </w:p>
    <w:p w14:paraId="2E5A89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7FE33F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203E23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A2111D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196A8498">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3A392FF0">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2052308E">
      <w:pPr>
        <w:widowControl/>
        <w:spacing w:line="360" w:lineRule="auto"/>
        <w:jc w:val="center"/>
        <w:rPr>
          <w:rFonts w:cs="宋体" w:asciiTheme="minorEastAsia" w:hAnsiTheme="minorEastAsia" w:eastAsiaTheme="minorEastAsia"/>
          <w:b/>
          <w:bCs/>
          <w:kern w:val="0"/>
          <w:szCs w:val="21"/>
        </w:rPr>
      </w:pPr>
    </w:p>
    <w:p w14:paraId="63976E7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023CFC0D">
      <w:pPr>
        <w:widowControl/>
        <w:spacing w:line="360" w:lineRule="auto"/>
        <w:jc w:val="left"/>
        <w:rPr>
          <w:rFonts w:cs="宋体" w:asciiTheme="minorEastAsia" w:hAnsiTheme="minorEastAsia" w:eastAsiaTheme="minorEastAsia"/>
          <w:kern w:val="0"/>
          <w:szCs w:val="21"/>
        </w:rPr>
      </w:pPr>
    </w:p>
    <w:p w14:paraId="3F05BF0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7223A2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0822F26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903D5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041ED63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206BDA2D">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53092705">
      <w:pPr>
        <w:widowControl/>
        <w:spacing w:line="360" w:lineRule="auto"/>
        <w:jc w:val="left"/>
        <w:rPr>
          <w:rFonts w:cs="宋体" w:asciiTheme="minorEastAsia" w:hAnsiTheme="minorEastAsia" w:eastAsiaTheme="minorEastAsia"/>
          <w:kern w:val="0"/>
          <w:szCs w:val="21"/>
        </w:rPr>
      </w:pPr>
    </w:p>
    <w:p w14:paraId="72B0AD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2E6C184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516FBA42">
      <w:pPr>
        <w:widowControl/>
        <w:spacing w:line="360" w:lineRule="auto"/>
        <w:jc w:val="left"/>
        <w:rPr>
          <w:rFonts w:cs="宋体" w:asciiTheme="minorEastAsia" w:hAnsiTheme="minorEastAsia" w:eastAsiaTheme="minorEastAsia"/>
          <w:kern w:val="0"/>
          <w:szCs w:val="21"/>
        </w:rPr>
      </w:pPr>
    </w:p>
    <w:p w14:paraId="63D1BB6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0E24F62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D13EB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54315B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25B70BD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05FCAD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5D09774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7902BF84">
      <w:pPr>
        <w:widowControl/>
        <w:spacing w:line="360" w:lineRule="auto"/>
        <w:jc w:val="left"/>
        <w:rPr>
          <w:rFonts w:cs="宋体" w:asciiTheme="minorEastAsia" w:hAnsiTheme="minorEastAsia" w:eastAsiaTheme="minorEastAsia"/>
          <w:kern w:val="0"/>
          <w:szCs w:val="21"/>
        </w:rPr>
      </w:pPr>
    </w:p>
    <w:p w14:paraId="3908720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6EDD06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44"/>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22A18A1">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28867AC5">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1C507B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683E76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DF9334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706A0C9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E7330D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203838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45800F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02411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0175DEE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BF0CC6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59EDF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4E22F74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DC646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3ED3D861">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DC6C1A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A8606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EE0E0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646D97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9031F6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D6BB05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F20EF9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8D0B2B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BD1FD6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3C525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BCA1D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A9056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E2CFEE">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8CA4A4E">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04BB59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099CB41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F7FC77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F0801E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7B72DB6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5E0C0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9D8E9F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47E6287">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5849AE5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B537B4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6F6437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150067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3F41C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22A2D4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0A0771">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AF768A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32E008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8B05081">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2417151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C3D61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24A556A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75C07A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C8A405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5D2CB9AC">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38E1F8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113D482B">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2F05C75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9BF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CFD5A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A16A8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023982">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862B8A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59CF4AB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89D4B5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67AE25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E26A1B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59FF499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6830A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D9ED38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E17183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650C96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CE667A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10FF5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8A572F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D2BB7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F6A52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F8597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1AC29D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2C76B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28E77D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9A815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3D507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367409E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F09902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473E7E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D1B0F7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3A8A5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A85A82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4660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47AFEC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22802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5312A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B04F33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4981FF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7F6BD2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EEC23D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7B87EC1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D7A9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2A37B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D514C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4D1D543">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C0331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49935D5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08633E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BD9CC4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6E552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267702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3B105D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D919D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A6FCE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AD98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A00AE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794A65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2013E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E85730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3B782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AFE5A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E59032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54FBF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63205B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FC95A1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4F3C7A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AEDC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4361C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ECF4B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3944A3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183745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E02F18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481DB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B94CC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B1CF4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77634F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73DA33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A41B9D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9E8DD7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C2CAD8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99435B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E4145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D6AA7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FB891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57BB6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176B36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B31DF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F7D221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90307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6923C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8B2EE6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0539FC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94F713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7B9F9A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432203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431DE9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EC8C0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1E64BC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657684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112C0C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0057AA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62C8F0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006A5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42117E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8A5A9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A6F8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4030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5AC0B9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7528522">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B6C60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E35DA8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4D8322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EBE4B3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FB885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7F039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C635EE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AE8649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7FE86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3BAC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1F0551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4772C1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7ED5AB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30F98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67EA7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885E9A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37074F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EA8199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01502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FB7FFBE">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73AED3A">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58BAD9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0F70F6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FD195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2169C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BBA9C6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4DB9A99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7E59A3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EA384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428DF9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1FA643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4D738B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A777C1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E5185E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756C738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BB52A0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60A171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37A65B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73DF16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0C6DD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53EA286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022B7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7BB571DB">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772D4C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A686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11352EB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22CC0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8EF8C2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6350E2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A9192B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CE58C4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18D166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A16E60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5B2A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EB3F5C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0C9E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A36561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3B5B5B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DB89F72">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42BA62B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9214E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3B92007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127B2E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12CF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DC2DBC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A7A61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69974C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F483DB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D012FE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E10C3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8B8F60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6B25D0B">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3AAD5D4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542E3E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79209293">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39BFBD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8892C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37E8EF6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10AA232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9B699F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1156DD5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0FEFC4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241874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C46FDE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33AB02F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321ACF6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7054C9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9C8C1A4">
      <w:pPr>
        <w:spacing w:line="360" w:lineRule="auto"/>
        <w:rPr>
          <w:rFonts w:asciiTheme="minorEastAsia" w:hAnsiTheme="minorEastAsia" w:eastAsiaTheme="minorEastAsia"/>
          <w:szCs w:val="21"/>
        </w:rPr>
      </w:pPr>
    </w:p>
    <w:p w14:paraId="6151EE12">
      <w:pPr>
        <w:pStyle w:val="3"/>
        <w:spacing w:before="0" w:after="0"/>
        <w:jc w:val="center"/>
      </w:pPr>
      <w:bookmarkStart w:id="26" w:name="_Toc73610165"/>
      <w:bookmarkStart w:id="27" w:name="_Toc73613647"/>
      <w:r>
        <w:rPr>
          <w:rFonts w:hint="eastAsia"/>
        </w:rPr>
        <w:t>四、</w:t>
      </w:r>
      <w:r>
        <w:t>财政部 民政部 中国残疾人联合会关于促进残疾人就业 政府采购政策的通知</w:t>
      </w:r>
      <w:bookmarkEnd w:id="26"/>
      <w:bookmarkEnd w:id="27"/>
      <w:r>
        <w:t xml:space="preserve"> </w:t>
      </w:r>
    </w:p>
    <w:p w14:paraId="4FFF28D3">
      <w:pPr>
        <w:pStyle w:val="38"/>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14:paraId="12EFB60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EE25DD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68F5AEF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3F2F90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240B618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2F4147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686AED4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0A1270F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5C7E71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6EC929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4667BD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7A99645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7FB62FD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1F23E0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098A29A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009A47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D9B8C3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19D7B3F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58AC7DC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3D9877BB">
      <w:pPr>
        <w:widowControl/>
        <w:spacing w:line="360" w:lineRule="auto"/>
        <w:jc w:val="right"/>
        <w:rPr>
          <w:rFonts w:cs="宋体" w:asciiTheme="minorEastAsia" w:hAnsiTheme="minorEastAsia" w:eastAsiaTheme="minorEastAsia"/>
          <w:kern w:val="0"/>
          <w:szCs w:val="21"/>
        </w:rPr>
      </w:pPr>
    </w:p>
    <w:p w14:paraId="4DF7670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55AF3FDD">
      <w:pPr>
        <w:tabs>
          <w:tab w:val="left" w:pos="1875"/>
        </w:tabs>
      </w:pPr>
    </w:p>
    <w:p w14:paraId="48835C1F"/>
    <w:p w14:paraId="1DFA4E55">
      <w:pPr>
        <w:pStyle w:val="3"/>
        <w:spacing w:before="0" w:after="0"/>
        <w:jc w:val="center"/>
      </w:pPr>
      <w:r>
        <w:rPr>
          <w:rFonts w:hint="eastAsia"/>
        </w:rPr>
        <w:t>五、财政部 司法部关于政府采购支持监狱企业发展有关问题的通知</w:t>
      </w:r>
      <w:r>
        <w:t xml:space="preserve"> </w:t>
      </w:r>
    </w:p>
    <w:p w14:paraId="7EAD8077">
      <w:pPr>
        <w:widowControl/>
        <w:spacing w:line="360" w:lineRule="auto"/>
        <w:jc w:val="center"/>
        <w:rPr>
          <w:rFonts w:cs="宋体" w:asciiTheme="minorEastAsia" w:hAnsiTheme="minorEastAsia" w:eastAsiaTheme="minorEastAsia"/>
          <w:kern w:val="0"/>
          <w:szCs w:val="21"/>
        </w:rPr>
      </w:pPr>
    </w:p>
    <w:p w14:paraId="0F5CE4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7712F518">
      <w:pPr>
        <w:widowControl/>
        <w:spacing w:line="360" w:lineRule="auto"/>
        <w:jc w:val="left"/>
        <w:rPr>
          <w:rFonts w:cs="宋体" w:asciiTheme="minorEastAsia" w:hAnsiTheme="minorEastAsia" w:eastAsiaTheme="minorEastAsia"/>
          <w:kern w:val="0"/>
          <w:szCs w:val="21"/>
        </w:rPr>
      </w:pPr>
    </w:p>
    <w:p w14:paraId="6D74E1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5D7F4D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2C045BB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9A6FF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5709A90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1AD877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7E3DDBC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689C3FB">
      <w:pPr>
        <w:widowControl/>
        <w:spacing w:line="360" w:lineRule="auto"/>
        <w:jc w:val="left"/>
        <w:rPr>
          <w:rFonts w:cs="宋体" w:asciiTheme="minorEastAsia" w:hAnsiTheme="minorEastAsia" w:eastAsiaTheme="minorEastAsia"/>
          <w:kern w:val="0"/>
          <w:szCs w:val="21"/>
        </w:rPr>
      </w:pPr>
    </w:p>
    <w:p w14:paraId="3C4201E3">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41C78C2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2468A16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6C79BB20">
      <w:pPr>
        <w:widowControl/>
        <w:spacing w:line="360" w:lineRule="auto"/>
        <w:jc w:val="center"/>
        <w:rPr>
          <w:rFonts w:asciiTheme="majorEastAsia" w:hAnsiTheme="majorEastAsia" w:eastAsiaTheme="majorEastAsia"/>
          <w:b/>
          <w:sz w:val="32"/>
          <w:szCs w:val="32"/>
        </w:rPr>
      </w:pPr>
      <w:r>
        <w:rPr>
          <w:rFonts w:cs="宋体" w:asciiTheme="minorEastAsia" w:hAnsiTheme="minorEastAsia" w:eastAsiaTheme="minorEastAsia"/>
          <w:kern w:val="0"/>
          <w:szCs w:val="21"/>
        </w:rPr>
        <w:br w:type="page"/>
      </w:r>
      <w:r>
        <w:rPr>
          <w:rFonts w:hint="eastAsia" w:asciiTheme="majorEastAsia" w:hAnsiTheme="majorEastAsia" w:eastAsiaTheme="majorEastAsia"/>
          <w:b/>
          <w:sz w:val="32"/>
          <w:szCs w:val="32"/>
        </w:rPr>
        <w:t>第二册  通用条款（公开招标）</w:t>
      </w:r>
    </w:p>
    <w:p w14:paraId="074D2409">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28" w:name="_Hlk72399513"/>
      <w:r>
        <w:rPr>
          <w:rFonts w:hint="eastAsia" w:asciiTheme="majorEastAsia" w:hAnsiTheme="majorEastAsia" w:eastAsiaTheme="majorEastAsia"/>
          <w:b/>
          <w:bCs/>
          <w:kern w:val="0"/>
          <w:sz w:val="28"/>
          <w:szCs w:val="28"/>
        </w:rPr>
        <w:t>总则</w:t>
      </w:r>
    </w:p>
    <w:bookmarkEnd w:id="28"/>
    <w:p w14:paraId="1AF5EAB3">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14:paraId="1DC010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29" w:name="_Hlk72399729"/>
      <w:r>
        <w:rPr>
          <w:rFonts w:hint="eastAsia" w:asciiTheme="majorEastAsia" w:hAnsiTheme="majorEastAsia" w:eastAsiaTheme="majorEastAsia"/>
          <w:szCs w:val="21"/>
        </w:rPr>
        <w:t>如有需要，采购代理机构可以对通用条款的内容进行补充。</w:t>
      </w:r>
      <w:bookmarkEnd w:id="29"/>
    </w:p>
    <w:p w14:paraId="604A360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14:paraId="1283E9F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14:paraId="22196D6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14:paraId="3A532AF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14:paraId="72C19B51">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14:paraId="5BA80E2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14:paraId="6524192E">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14:paraId="3FE3D466">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14:paraId="69A0715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14:paraId="1B7238F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14:paraId="0EF02F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14:paraId="0AE8990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14:paraId="1FCBA00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14:paraId="5BA2F96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14:paraId="73A2065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14:paraId="40A1D9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站提供的深圳智慧采购平台投标文件制作专用软件（以下简称：投标文件制作软件）制作并加密的投标文件,适用于网上投标；（投标文件制作软件可从“下载地址：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TPBidder/DownLoad/深圳市智慧采购平台投标文件制作专用软件.zip”下载）；</w:t>
      </w:r>
    </w:p>
    <w:p w14:paraId="024EF5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14:paraId="1843EDD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14:paraId="16C6D53C">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30" w:name="_Hlk72398643"/>
      <w:r>
        <w:rPr>
          <w:rFonts w:hint="eastAsia" w:asciiTheme="majorEastAsia" w:hAnsiTheme="majorEastAsia" w:eastAsiaTheme="majorEastAsia"/>
          <w:b/>
          <w:bCs/>
          <w:szCs w:val="21"/>
        </w:rPr>
        <w:t>政府采购供应商责任</w:t>
      </w:r>
    </w:p>
    <w:p w14:paraId="1197C2F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14:paraId="0A55F2E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14:paraId="395B797A">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14:paraId="208C86D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14:paraId="3D91CB7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14:paraId="4F4A235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14:paraId="020EE44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14:paraId="4BE635B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14:paraId="1D61E45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14:paraId="63A5290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14:paraId="6DD2E64F">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14:paraId="18AD561F">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14:paraId="218B5206">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14:paraId="00A3802C">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14:paraId="40E0F3EA">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14:paraId="56BD096D">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14:paraId="708A703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（2）联合体中有同类资质的供应商按照联合体分工承担相同工作的，应当按照资质等级较低的供应商确定资质等级；</w:t>
      </w:r>
    </w:p>
    <w:p w14:paraId="39877CA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（3）是否允许联合体参加投标，应当由采购人和采购代理机构根据项目的实际情况和潜在供应商的数量自主决定，如果决定接受联合体投标则应当在招标公告中明示；</w:t>
      </w:r>
    </w:p>
    <w:p w14:paraId="19B6139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（4）投标人的投标文件及中标后签署的合同协议对联合体各方均具法律约束力；</w:t>
      </w:r>
    </w:p>
    <w:p w14:paraId="6D9B271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（5）联合体各方应当签订联合体投标协议，明确约定各方拟承担的工作和责任，并将该协议随投标文件一并递交给采购代理机构；</w:t>
      </w:r>
    </w:p>
    <w:p w14:paraId="117A8B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（6）联合体中标后，联合体各方应当共同与采购人签订合同，就中标项目向采购人承担连带责任；</w:t>
      </w:r>
    </w:p>
    <w:p w14:paraId="495111F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B949E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（8）本通用条款中“投标人”一词亦指联合体各方，专用条款另有规定或说明的除外。</w:t>
      </w:r>
    </w:p>
    <w:p w14:paraId="2694CD74">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14:paraId="0BE73A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14:paraId="030E3994">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14:paraId="1B63620D">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14:paraId="0207707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14:paraId="0508E2F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14:paraId="64A3C3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4B4A6E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31"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1"/>
    </w:p>
    <w:p w14:paraId="62DD475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25E749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14:paraId="696AB9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14:paraId="42A9F1F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14:paraId="0271CC8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14:paraId="2E09011B">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14:paraId="765C96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D17EDE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14:paraId="4C6CBD0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14:paraId="33A95CA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14:paraId="107D7B6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14:paraId="431A8F5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14:paraId="32B651C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14:paraId="6A1C110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14:paraId="5BBDAC1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30"/>
    <w:p w14:paraId="7C4AE913">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招标文件</w:t>
      </w:r>
    </w:p>
    <w:p w14:paraId="6DAB222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32" w:name="_Hlk72399819"/>
      <w:r>
        <w:rPr>
          <w:rFonts w:hint="eastAsia" w:asciiTheme="majorEastAsia" w:hAnsiTheme="majorEastAsia" w:eastAsiaTheme="majorEastAsia"/>
          <w:b/>
          <w:bCs/>
          <w:szCs w:val="21"/>
        </w:rPr>
        <w:t>招标文件的编制与组成</w:t>
      </w:r>
    </w:p>
    <w:p w14:paraId="694A3A2D">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14:paraId="6E26839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14:paraId="3F43A8E7">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14:paraId="25834A78">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14:paraId="7A5B9472">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14:paraId="4C9B9F4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14:paraId="010A287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14:paraId="3A6C0F3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14:paraId="451C12EE">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14:paraId="298F191B">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14:paraId="01997064">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14:paraId="0B8AD83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14:paraId="0E0E4B74">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14:paraId="2744D70B">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14:paraId="7D7BA72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14:paraId="35472154">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14:paraId="49DC52B6">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14:paraId="74FDA33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14:paraId="054FCBE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14:paraId="70FCB93B">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14:paraId="7C9C155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14:paraId="6D67A29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AD3AD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71DE721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14:paraId="6AB417E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14:paraId="4BD77F7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14:paraId="17F8376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14:paraId="3D9D751C">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14:paraId="7D6C84C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14:paraId="0D38D3F6">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14:paraId="1BB7600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2F41541D">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2"/>
    </w:p>
    <w:p w14:paraId="453E4014">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投标文件的编制</w:t>
      </w:r>
    </w:p>
    <w:p w14:paraId="70D861B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33" w:name="_Hlk72400236"/>
      <w:r>
        <w:rPr>
          <w:rFonts w:hint="eastAsia" w:asciiTheme="majorEastAsia" w:hAnsiTheme="majorEastAsia" w:eastAsiaTheme="majorEastAsia"/>
          <w:b/>
          <w:bCs/>
          <w:szCs w:val="21"/>
        </w:rPr>
        <w:t>投标文件的语言及度量单位</w:t>
      </w:r>
    </w:p>
    <w:p w14:paraId="13AC0C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2EEA13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33"/>
    <w:p w14:paraId="73FDF4C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34" w:name="_Hlk72401567"/>
      <w:r>
        <w:rPr>
          <w:rFonts w:hint="eastAsia" w:asciiTheme="majorEastAsia" w:hAnsiTheme="majorEastAsia" w:eastAsiaTheme="majorEastAsia"/>
          <w:b/>
          <w:bCs/>
          <w:szCs w:val="21"/>
        </w:rPr>
        <w:t>投标文件的组成</w:t>
      </w:r>
    </w:p>
    <w:p w14:paraId="2074FAC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14:paraId="65B36C6F">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14:paraId="0295B5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投标人提交的投标文件应使用招标文件所提供的相应格式</w:t>
      </w:r>
      <w:r>
        <w:rPr>
          <w:rFonts w:hint="eastAsia" w:asciiTheme="majorEastAsia" w:hAnsiTheme="majorEastAsia" w:eastAsiaTheme="majorEastAsia"/>
          <w:szCs w:val="21"/>
        </w:rPr>
        <w:t>（表格均可按同样格式扩展）。</w:t>
      </w:r>
    </w:p>
    <w:p w14:paraId="4646BFB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14:paraId="09E277E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34"/>
    <w:p w14:paraId="0F9874C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35" w:name="_Hlk72401735"/>
      <w:r>
        <w:rPr>
          <w:rFonts w:hint="eastAsia" w:asciiTheme="majorEastAsia" w:hAnsiTheme="majorEastAsia" w:eastAsiaTheme="majorEastAsia"/>
          <w:b/>
          <w:bCs/>
          <w:szCs w:val="21"/>
        </w:rPr>
        <w:t>证明投标文件投标技术方案的合格性和符合招标文件规定的文件要求</w:t>
      </w:r>
    </w:p>
    <w:p w14:paraId="1A5E66F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14:paraId="1A51875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08D27A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14:paraId="0515CF5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14:paraId="586D5FA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0C1B9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6BD64F2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14AC8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14:paraId="26782842">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73F786F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35"/>
    <w:p w14:paraId="01EA7DC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36" w:name="_Hlk72402034"/>
      <w:r>
        <w:rPr>
          <w:rFonts w:hint="eastAsia" w:asciiTheme="majorEastAsia" w:hAnsiTheme="majorEastAsia" w:eastAsiaTheme="majorEastAsia"/>
          <w:b/>
          <w:bCs/>
          <w:szCs w:val="21"/>
        </w:rPr>
        <w:t>投标文件其他证明文件的要求</w:t>
      </w:r>
    </w:p>
    <w:p w14:paraId="018DDD6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7" w:name="_Hlk71407299"/>
    </w:p>
    <w:bookmarkEnd w:id="37"/>
    <w:p w14:paraId="57BE319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EA7868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36"/>
    <w:p w14:paraId="5555FADD">
      <w:pPr>
        <w:spacing w:line="360" w:lineRule="auto"/>
        <w:ind w:firstLine="411" w:firstLineChars="196"/>
        <w:rPr>
          <w:rFonts w:asciiTheme="majorEastAsia" w:hAnsiTheme="majorEastAsia" w:eastAsiaTheme="majorEastAsia"/>
          <w:szCs w:val="21"/>
        </w:rPr>
      </w:pPr>
      <w:bookmarkStart w:id="38"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14:paraId="0C38FE2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66158CC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38"/>
    <w:p w14:paraId="5F1710C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39" w:name="_Hlk72402325"/>
      <w:r>
        <w:rPr>
          <w:rFonts w:hint="eastAsia" w:asciiTheme="majorEastAsia" w:hAnsiTheme="majorEastAsia" w:eastAsiaTheme="majorEastAsia"/>
          <w:szCs w:val="21"/>
        </w:rPr>
        <w:t xml:space="preserve">关于投标保证金 </w:t>
      </w:r>
    </w:p>
    <w:p w14:paraId="3D4BFC9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14:paraId="0CA338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14:paraId="0D4465F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829E3C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9"/>
    <w:p w14:paraId="17C9C91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23．</w:t>
      </w:r>
      <w:bookmarkStart w:id="40"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14:paraId="141E77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w:t>
      </w:r>
    </w:p>
    <w:p w14:paraId="5B7EF53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23.2投标人在使用《投标文件制作软件》编制投标书时须注意：</w:t>
      </w:r>
    </w:p>
    <w:p w14:paraId="03CD703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23.2.1导入《投标文件制作软件》的招标文件项目编号、包号应与以此制作的投标文件项目编号、包号一致。例如，不能将甲项目A包的招标书导入《投标文件制作软件》，制作乙项目B包的投标书。</w:t>
      </w:r>
    </w:p>
    <w:p w14:paraId="075AC87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23.2.2不能用非本公司的电子密钥加密本公司的投标文件，或者用其它公司的登录用户上传本公司的投标文件。</w:t>
      </w:r>
    </w:p>
    <w:p w14:paraId="0DA8FD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23.2.3要求用《投标文件制作软件》编制投标书的包，不能用其它方式编制投标书。编制投标文件时，电脑须连通互联网。</w:t>
      </w:r>
    </w:p>
    <w:p w14:paraId="71D11A7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23.2.4投标文件不能带病毒。采购代理机构将用专业杀毒软件对投标文件进行病毒检测，如果这两种软件均报告发现病毒，则采购代理机构认为该投标文件带病毒。</w:t>
      </w:r>
    </w:p>
    <w:p w14:paraId="6C8D13E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23.2.5完整填写“投标关键信息”，如下图所示：</w:t>
      </w:r>
    </w:p>
    <w:p w14:paraId="3CCC02D6">
      <w:pPr>
        <w:tabs>
          <w:tab w:val="left" w:pos="0"/>
        </w:tabs>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8"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2EB7F8E0">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备注：上述“开标一览表”中的“投标总价”将作为价格分计算依据；其它信息仅是对投标文件相关内容的概括性表述，不作为评审依据。</w:t>
      </w:r>
    </w:p>
    <w:p w14:paraId="65FD0B1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23.2.6投标人在编辑投标文件时，</w:t>
      </w:r>
      <w:r>
        <w:rPr>
          <w:rFonts w:hint="eastAsia" w:asciiTheme="majorEastAsia" w:hAnsiTheme="majorEastAsia" w:eastAsiaTheme="majorEastAsia"/>
          <w:b/>
          <w:szCs w:val="21"/>
        </w:rPr>
        <w:t>在投标文件目录中属于本节点内容的必须在本节点中填写，填写到其他节点或附件，</w:t>
      </w:r>
      <w:r>
        <w:rPr>
          <w:rFonts w:hint="eastAsia" w:asciiTheme="majorEastAsia" w:hAnsiTheme="majorEastAsia" w:eastAsiaTheme="majorEastAsia"/>
          <w:szCs w:val="21"/>
        </w:rPr>
        <w:t>一切后果由供应商自行承担。</w:t>
      </w:r>
    </w:p>
    <w:p w14:paraId="4B82300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23.2.7投标文件编写完成后，</w:t>
      </w:r>
      <w:r>
        <w:rPr>
          <w:rFonts w:hint="eastAsia" w:asciiTheme="majorEastAsia" w:hAnsiTheme="majorEastAsia" w:eastAsiaTheme="majorEastAsia"/>
          <w:b/>
          <w:szCs w:val="21"/>
        </w:rPr>
        <w:t>必须用属于投标人的电子密钥进行加密，否则视同未盖公章，将导致投标文件无效。</w:t>
      </w:r>
    </w:p>
    <w:p w14:paraId="1A2665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1F7BBEA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23.2.9如果开标时出现网络故障、技术故障，影响了政府采购活动，采购代理机构有权采取措施如延期、接受无法从网上上传的投标书等，以保障政府采购活动的公开、公平和公正。</w:t>
      </w:r>
    </w:p>
    <w:p w14:paraId="49A68EB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23.3电报、电话、传真形式的投标概不接受。</w:t>
      </w:r>
    </w:p>
    <w:p w14:paraId="249A2971">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23.4经投标人电子密钥加密的投标文件无须盖章或签字，</w:t>
      </w:r>
      <w:r>
        <w:rPr>
          <w:rFonts w:hint="eastAsia" w:asciiTheme="majorEastAsia" w:hAnsiTheme="majorEastAsia" w:eastAsiaTheme="majorEastAsia"/>
          <w:szCs w:val="21"/>
        </w:rPr>
        <w:t>专用条款另有要求的除外。</w:t>
      </w:r>
    </w:p>
    <w:p w14:paraId="3C069EE8">
      <w:pPr>
        <w:spacing w:line="360" w:lineRule="auto"/>
        <w:ind w:firstLine="413" w:firstLineChars="196"/>
        <w:rPr>
          <w:rFonts w:asciiTheme="majorEastAsia" w:hAnsiTheme="majorEastAsia" w:eastAsiaTheme="majorEastAsia"/>
          <w:szCs w:val="21"/>
        </w:rPr>
      </w:pPr>
      <w:r>
        <w:rPr>
          <w:rFonts w:hint="eastAsia" w:asciiTheme="majorEastAsia" w:hAnsiTheme="majorEastAsia" w:eastAsiaTheme="majorEastAsia"/>
          <w:b/>
          <w:szCs w:val="21"/>
        </w:rPr>
        <w:t>23.5</w:t>
      </w:r>
      <w:r>
        <w:rPr>
          <w:rFonts w:hint="eastAsia" w:asciiTheme="majorEastAsia" w:hAnsiTheme="majorEastAsia" w:eastAsiaTheme="majorEastAsia"/>
          <w:szCs w:val="21"/>
        </w:rPr>
        <w:t xml:space="preserve"> 各类资格（资质）文件提供扫描件，专用条款另有要求的除外。</w:t>
      </w:r>
      <w:bookmarkEnd w:id="40"/>
    </w:p>
    <w:p w14:paraId="32B8203B">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投标文件的递交</w:t>
      </w:r>
      <w:bookmarkStart w:id="41" w:name="_Hlk72405459"/>
    </w:p>
    <w:p w14:paraId="418895A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24．投标书的保密</w:t>
      </w:r>
    </w:p>
    <w:p w14:paraId="1DF7C38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5954C07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9"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081B25C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在投标文件制作软件点击【生成标书】按钮进入【填写开标一览表界面】界面，在该界面填写完开标一览表信息后点击【确定】，进入投标文件生成环节。</w:t>
      </w:r>
      <w:r>
        <w:rPr>
          <w:rFonts w:asciiTheme="majorEastAsia" w:hAnsiTheme="majorEastAsia" w:eastAsiaTheme="majorEastAsia"/>
          <w:szCs w:val="21"/>
        </w:rPr>
        <w:drawing>
          <wp:inline distT="0" distB="0" distL="0" distR="0">
            <wp:extent cx="5278755" cy="2732405"/>
            <wp:effectExtent l="0" t="0" r="0" b="0"/>
            <wp:docPr id="12"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图形用户界面&#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4A20F5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投标文件制作软件会在投标文件生成过程中，提示用户输入密码，输入密码后对标文件自动进行加密。</w:t>
      </w:r>
    </w:p>
    <w:p w14:paraId="3ECB8254">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14:paraId="6A1ABFB3">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）有更新，投标人必须重新下载招标文件、重新制作投标文件、重新加密投标文件、重新上传投标文件；如果供下载的招标文件（后缀名为.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）没有更新，投标人必须重新加密投标文件、重新上传投标文件（是否重新制作投标文件根据项目实际情况定）。否则，投标人自行承担投标文件无法解密导致投标无效的后果。</w:t>
      </w:r>
    </w:p>
    <w:p w14:paraId="040B812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14:paraId="683D8D0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用电子密钥登录“深圳政府采购智慧平台用户网上办事子系统（http://zfcg.szggzy.com/TPBidder/memberLogin）”，用“【我的项目】→【项目流程】→【递交投标(应答)文件】”功能点上传投标文件。</w:t>
      </w:r>
    </w:p>
    <w:p w14:paraId="43C785C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783F939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14:paraId="55E9C38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41"/>
    <w:p w14:paraId="2C1F7C9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14:paraId="663B08D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14:paraId="6E0E4A35">
      <w:pPr>
        <w:spacing w:line="360" w:lineRule="auto"/>
        <w:rPr>
          <w:rFonts w:asciiTheme="majorEastAsia" w:hAnsiTheme="majorEastAsia" w:eastAsiaTheme="majorEastAsia"/>
          <w:b/>
          <w:bCs/>
          <w:szCs w:val="21"/>
        </w:rPr>
      </w:pPr>
      <w:bookmarkStart w:id="42"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14:paraId="3854AE57">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14:paraId="07F5FC7D">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14:paraId="40121A2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14:paraId="7AFBB15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42"/>
    <w:p w14:paraId="17EE39E9">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开标</w:t>
      </w:r>
    </w:p>
    <w:p w14:paraId="331BE7D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14:paraId="181149BB">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szCs w:val="21"/>
        </w:rPr>
        <w:t>http://zfcg.szggzy.com/</w:t>
      </w:r>
      <w:r>
        <w:rPr>
          <w:rFonts w:hint="eastAsia" w:asciiTheme="majorEastAsia" w:hAnsiTheme="majorEastAsia" w:eastAsiaTheme="majorEastAsia"/>
          <w:szCs w:val="21"/>
        </w:rPr>
        <w:t>TPBidder/memberLogin）”，使用本单位制作电子投标文件同一个电子密钥，在“【我的项目】→【项目流程】→【开标及解密】”进行在线解密、查询开标情况。</w:t>
      </w:r>
    </w:p>
    <w:p w14:paraId="0BC1308F">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 xml:space="preserve">8.2 </w:t>
      </w:r>
      <w:r>
        <w:rPr>
          <w:rFonts w:hint="eastAsia" w:asciiTheme="majorEastAsia" w:hAnsiTheme="majorEastAsia" w:eastAsiaTheme="majorEastAsia"/>
          <w:szCs w:val="21"/>
        </w:rPr>
        <w:t>采购代理机构将在满足开标条件（</w:t>
      </w:r>
      <w:r>
        <w:rPr>
          <w:rFonts w:hint="eastAsia" w:cs="宋体" w:asciiTheme="majorEastAsia" w:hAnsiTheme="majorEastAsia" w:eastAsiaTheme="majorEastAsia"/>
          <w:color w:val="333333"/>
          <w:szCs w:val="21"/>
          <w:shd w:val="clear" w:color="auto" w:fill="FFFFFF"/>
        </w:rPr>
        <w:t>①</w:t>
      </w:r>
      <w:r>
        <w:rPr>
          <w:rFonts w:hint="eastAsia" w:asciiTheme="majorEastAsia" w:hAnsiTheme="majorEastAsia" w:eastAsiaTheme="majorEastAsia"/>
          <w:szCs w:val="21"/>
        </w:rPr>
        <w:t>解密时间结束，解密后的投标供应商数量满足开标要求或</w:t>
      </w:r>
      <w:r>
        <w:rPr>
          <w:rFonts w:hint="eastAsia" w:cs="宋体" w:asciiTheme="majorEastAsia" w:hAnsiTheme="majorEastAsia" w:eastAsiaTheme="majorEastAsia"/>
          <w:color w:val="333333"/>
          <w:szCs w:val="21"/>
          <w:shd w:val="clear" w:color="auto" w:fill="FFFFFF"/>
        </w:rPr>
        <w:t>②</w:t>
      </w:r>
      <w:r>
        <w:rPr>
          <w:rFonts w:hint="eastAsia" w:asciiTheme="majorEastAsia" w:hAnsiTheme="majorEastAsia" w:eastAsiaTheme="majorEastAsia"/>
          <w:szCs w:val="21"/>
        </w:rPr>
        <w:t>解密时间结束前所有投标供应商均完成投标文件解密）后，对投标文件进行开标，并在网上公布开标结果。</w:t>
      </w:r>
    </w:p>
    <w:p w14:paraId="4B4131DF">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评审要求</w:t>
      </w:r>
    </w:p>
    <w:p w14:paraId="4D0FD96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14:paraId="78B5E5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14:paraId="0F75F991">
      <w:pPr>
        <w:spacing w:line="360" w:lineRule="auto"/>
        <w:ind w:firstLine="411" w:firstLineChars="196"/>
        <w:rPr>
          <w:rFonts w:asciiTheme="majorEastAsia" w:hAnsiTheme="majorEastAsia" w:eastAsiaTheme="majorEastAsia"/>
          <w:szCs w:val="21"/>
        </w:rPr>
      </w:pPr>
      <w:bookmarkStart w:id="43" w:name="_Hlk72436580"/>
      <w:r>
        <w:rPr>
          <w:rFonts w:hint="eastAsia" w:asciiTheme="majorEastAsia" w:hAnsiTheme="majorEastAsia" w:eastAsiaTheme="majorEastAsia"/>
          <w:szCs w:val="21"/>
        </w:rPr>
        <w:t>评审委员会由采购人代表和评审专家组成，成员人数应当为5人以上单数（部分条件下为7人以上单数），其中评审专家不得少于成员总数的三分之二。</w:t>
      </w:r>
      <w:bookmarkEnd w:id="43"/>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14:paraId="7A1F14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14:paraId="1B16CCE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14:paraId="670560E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14:paraId="2A6B0534">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14:paraId="73C67D2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14:paraId="46D08D2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14:paraId="265E4F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14:paraId="10877D6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14:paraId="70CE2FB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14:paraId="488B1CF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14:paraId="72A64C0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14:paraId="61F2CFA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14:paraId="63D26D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14:paraId="59D60BB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14:paraId="15F33F66">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14:paraId="5DD13C16">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评审程序及评审方法</w:t>
      </w:r>
    </w:p>
    <w:p w14:paraId="7BB4AAB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14:paraId="39EC240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14:paraId="7B9CBF5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14:paraId="706EBFE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14:paraId="417913C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14:paraId="4DFC810B">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14:paraId="4D18E84E">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817998C">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3CE9A79">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14:paraId="76CB461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14:paraId="550115F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14:paraId="79641CF5">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14:paraId="7ACDD38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14:paraId="1977C5D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14:paraId="4709B1E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14:paraId="1F9D234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14:paraId="3F03BC3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14:paraId="1E10342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14:paraId="00C376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14:paraId="197AEEE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14:paraId="7DA7601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14:paraId="3284F21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14:paraId="15730348">
      <w:pPr>
        <w:spacing w:line="360" w:lineRule="auto"/>
        <w:ind w:firstLine="411" w:firstLineChars="196"/>
        <w:rPr>
          <w:rFonts w:asciiTheme="majorEastAsia" w:hAnsiTheme="majorEastAsia" w:eastAsiaTheme="majorEastAsia"/>
          <w:szCs w:val="21"/>
        </w:rPr>
      </w:pPr>
      <w:bookmarkStart w:id="44"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44"/>
    </w:p>
    <w:p w14:paraId="187513A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14:paraId="2FE5F22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14:paraId="5C82ED5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8B6993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14:paraId="72F06A63">
      <w:pPr>
        <w:spacing w:line="360" w:lineRule="auto"/>
        <w:rPr>
          <w:rFonts w:asciiTheme="majorEastAsia" w:hAnsiTheme="majorEastAsia" w:eastAsiaTheme="majorEastAsia"/>
          <w:b/>
          <w:bCs/>
          <w:szCs w:val="21"/>
        </w:rPr>
      </w:pPr>
      <w:bookmarkStart w:id="45" w:name="_Toc73518151"/>
      <w:bookmarkStart w:id="46" w:name="_Toc73521581"/>
      <w:bookmarkStart w:id="47" w:name="_Toc100052400"/>
      <w:bookmarkStart w:id="48" w:name="_Toc73521669"/>
      <w:bookmarkStart w:id="49" w:name="_Toc73517673"/>
      <w:r>
        <w:rPr>
          <w:rFonts w:hint="eastAsia" w:asciiTheme="majorEastAsia" w:hAnsiTheme="majorEastAsia" w:eastAsiaTheme="majorEastAsia"/>
          <w:b/>
          <w:bCs/>
          <w:szCs w:val="21"/>
        </w:rPr>
        <w:t>34．错误的修正</w:t>
      </w:r>
      <w:bookmarkEnd w:id="45"/>
      <w:bookmarkEnd w:id="46"/>
      <w:bookmarkEnd w:id="47"/>
      <w:bookmarkEnd w:id="48"/>
      <w:bookmarkEnd w:id="49"/>
    </w:p>
    <w:p w14:paraId="452C5CB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14:paraId="4A1CFEC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14:paraId="0722655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14:paraId="544E239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14:paraId="031600B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14:paraId="706395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34.5同时出现两种以上不一致的，按照前款规定的顺序修正。修正后的报价按照本通用条款33条的规定，经投标人确认后产生约束力，投标人不确认的，其投标无效。</w:t>
      </w:r>
    </w:p>
    <w:p w14:paraId="23B14B3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14:paraId="15CE644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DD2C07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14:paraId="5D1488B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14:paraId="36AA2AD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14:paraId="08B9B21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14:paraId="6A91FB38">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14:paraId="3537EF42">
      <w:pPr>
        <w:spacing w:line="360" w:lineRule="auto"/>
        <w:ind w:firstLine="411" w:firstLineChars="196"/>
        <w:rPr>
          <w:rFonts w:asciiTheme="majorEastAsia" w:hAnsiTheme="majorEastAsia" w:eastAsiaTheme="majorEastAsia"/>
          <w:szCs w:val="21"/>
        </w:rPr>
      </w:pPr>
      <w:bookmarkStart w:id="50"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14:paraId="4A44A71A">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14:paraId="728D0E65">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50"/>
    </w:p>
    <w:p w14:paraId="20868A67">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14:paraId="337DC5EA">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14:paraId="5D116043">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14:paraId="5FBB89D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14:paraId="4A3A0A9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14:paraId="7E209B17">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14:paraId="1672BC2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14:paraId="4BD219EE">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685FEC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14:paraId="1D5FCF3E">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14:paraId="5BB80D54">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14:paraId="0B7C71C4">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14:paraId="7B226F89">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14:paraId="0B628BD2">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14:paraId="77323E8E">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14:paraId="4759E709">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14:paraId="0CB7D7AE">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定标及公示</w:t>
      </w:r>
    </w:p>
    <w:p w14:paraId="5F09056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14:paraId="448014FA">
      <w:pPr>
        <w:spacing w:line="360" w:lineRule="auto"/>
        <w:ind w:firstLine="411" w:firstLineChars="196"/>
        <w:rPr>
          <w:rFonts w:asciiTheme="majorEastAsia" w:hAnsiTheme="majorEastAsia" w:eastAsiaTheme="majorEastAsia"/>
          <w:szCs w:val="21"/>
        </w:rPr>
      </w:pPr>
      <w:bookmarkStart w:id="51" w:name="_Hlk73782795"/>
      <w:r>
        <w:rPr>
          <w:rFonts w:hint="eastAsia" w:asciiTheme="majorEastAsia" w:hAnsiTheme="majorEastAsia" w:eastAsiaTheme="majorEastAsia"/>
          <w:szCs w:val="21"/>
        </w:rPr>
        <w:t>38.1非评定分离项目定标方法</w:t>
      </w:r>
    </w:p>
    <w:p w14:paraId="6499927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14:paraId="1BA493D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52"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52"/>
      <w:r>
        <w:rPr>
          <w:rFonts w:asciiTheme="majorEastAsia" w:hAnsiTheme="majorEastAsia" w:eastAsiaTheme="majorEastAsia"/>
          <w:szCs w:val="21"/>
        </w:rPr>
        <w:t>）。</w:t>
      </w:r>
    </w:p>
    <w:p w14:paraId="01D611B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w:t>
      </w:r>
    </w:p>
    <w:p w14:paraId="6B1C8EF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14:paraId="0D427AE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5ED14D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53"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14:paraId="2A68BE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54"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53"/>
      <w:bookmarkEnd w:id="54"/>
    </w:p>
    <w:p w14:paraId="009A8826">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14:paraId="63B1482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14:paraId="42406C3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51"/>
    </w:p>
    <w:p w14:paraId="61B0DC7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14:paraId="7FEDAB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23E6FC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14:paraId="4F77E5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55" w:name="_Hlk72438709"/>
      <w:r>
        <w:rPr>
          <w:rFonts w:hint="eastAsia" w:asciiTheme="majorEastAsia" w:hAnsiTheme="majorEastAsia" w:eastAsiaTheme="majorEastAsia"/>
          <w:szCs w:val="21"/>
        </w:rPr>
        <w:t>为体现“公开、公平、公正”的原则，评审结束后经采购人确认（确定）评审结果，采购代理机构将在“深圳政府采购智慧平台（http://zfcg.szggzy.com/）”上发布中标结果公告。</w:t>
      </w:r>
      <w:bookmarkEnd w:id="55"/>
      <w:bookmarkStart w:id="56"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56"/>
    <w:p w14:paraId="66E07C8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14:paraId="4525A6E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14:paraId="3128717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57" w:name="_Hlk72438863"/>
      <w:r>
        <w:rPr>
          <w:rFonts w:hint="eastAsia" w:asciiTheme="majorEastAsia" w:hAnsiTheme="majorEastAsia" w:eastAsiaTheme="majorEastAsia"/>
          <w:szCs w:val="21"/>
        </w:rPr>
        <w:t>中标公告公布以后无异常的情况下,采购代理机构将向中标供应商和采购人发出中标通知书。</w:t>
      </w:r>
      <w:bookmarkEnd w:id="57"/>
    </w:p>
    <w:p w14:paraId="4678422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14:paraId="24286F67">
      <w:pPr>
        <w:spacing w:line="360" w:lineRule="auto"/>
        <w:ind w:firstLine="411" w:firstLineChars="196"/>
        <w:rPr>
          <w:rFonts w:asciiTheme="majorEastAsia" w:hAnsiTheme="majorEastAsia" w:eastAsiaTheme="majorEastAsia"/>
          <w:szCs w:val="21"/>
        </w:rPr>
      </w:pPr>
      <w:bookmarkStart w:id="58"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14:paraId="5D96326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41.4中标服务费</w:t>
      </w:r>
    </w:p>
    <w:p w14:paraId="4232C1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中标人须在中标公告公示期结束后，向采购代理机构缴纳中标服务费。中标服务费收费标准根据《深圳市财政委员会关于规范深圳市社会采购代理机构的管理有关事项的补充通知（深财购[2018]27号）》文件相关规定，按照差额定率累进法计算。具体收费标准详见下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14:paraId="647F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14:paraId="63B6B517">
            <w:pPr>
              <w:spacing w:line="360" w:lineRule="auto"/>
              <w:ind w:firstLine="1629" w:firstLineChars="776"/>
              <w:rPr>
                <w:rFonts w:asciiTheme="majorEastAsia" w:hAnsiTheme="majorEastAsia" w:eastAsiaTheme="majorEastAsia"/>
                <w:b/>
                <w:szCs w:val="21"/>
              </w:rPr>
            </w:pPr>
            <w:r>
              <w:rPr>
                <w:rFonts w:asciiTheme="majorEastAsia" w:hAnsiTheme="majorEastAsia" w:eastAsiaTheme="majorEastAsia"/>
                <w:szCs w:val="21"/>
              </w:rPr>
              <w:pict>
                <v:line id="_x0000_s1026" o:spid="_x0000_s1026" o:spt="20" style="position:absolute;left:0pt;flip:x y;margin-left:-1.5pt;margin-top:34.35pt;height:31.05pt;width:136.5pt;z-index:251661312;mso-width-relative:page;mso-height-relative:page;" stroked="t" coordsize="21600,21600" o:allowincell="f">
                  <v:path arrowok="t"/>
                  <v:fill focussize="0,0"/>
                  <v:stroke joinstyle="round"/>
                  <v:imagedata o:title=""/>
                  <o:lock v:ext="edit" aspectratio="f"/>
                </v:line>
              </w:pict>
            </w:r>
            <w:r>
              <w:rPr>
                <w:rFonts w:asciiTheme="majorEastAsia" w:hAnsiTheme="majorEastAsia" w:eastAsiaTheme="majorEastAsia"/>
                <w:szCs w:val="21"/>
              </w:rPr>
              <w:pict>
                <v:line id="_x0000_s1027" o:spid="_x0000_s1027" o:spt="20" style="position:absolute;left:0pt;flip:x y;margin-left:30.9pt;margin-top:2.5pt;height:62.9pt;width:104.1pt;z-index:251660288;mso-width-relative:page;mso-height-relative:page;" stroked="t" coordsize="21600,21600" o:allowincell="f">
                  <v:path arrowok="t"/>
                  <v:fill focussize="0,0"/>
                  <v:stroke joinstyle="round"/>
                  <v:imagedata o:title=""/>
                  <o:lock v:ext="edit" aspectratio="f"/>
                </v:line>
              </w:pict>
            </w:r>
            <w:r>
              <w:rPr>
                <w:rFonts w:asciiTheme="majorEastAsia" w:hAnsiTheme="majorEastAsia" w:eastAsiaTheme="majorEastAsia"/>
                <w:szCs w:val="21"/>
              </w:rPr>
              <w:pict>
                <v:line id="_x0000_s1028" o:spid="_x0000_s1028" o:spt="20" style="position:absolute;left:0pt;margin-left:-9pt;margin-top:-0.5pt;height:0pt;width:0.05pt;z-index:251662336;mso-width-relative:page;mso-height-relative:page;" stroked="t" coordsize="21600,21600" o:allowincell="f">
                  <v:path arrowok="t"/>
                  <v:fill focussize="0,0"/>
                  <v:stroke joinstyle="round"/>
                  <v:imagedata o:title=""/>
                  <o:lock v:ext="edit" aspectratio="f"/>
                </v:line>
              </w:pict>
            </w:r>
            <w:r>
              <w:rPr>
                <w:rFonts w:hint="eastAsia" w:asciiTheme="majorEastAsia" w:hAnsiTheme="majorEastAsia" w:eastAsiaTheme="majorEastAsia"/>
                <w:b/>
                <w:szCs w:val="21"/>
              </w:rPr>
              <w:t>服务类型</w:t>
            </w:r>
          </w:p>
          <w:p w14:paraId="48367473">
            <w:pPr>
              <w:spacing w:line="360" w:lineRule="auto"/>
              <w:ind w:firstLine="637" w:firstLineChars="302"/>
              <w:rPr>
                <w:rFonts w:asciiTheme="majorEastAsia" w:hAnsiTheme="majorEastAsia" w:eastAsiaTheme="majorEastAsia"/>
                <w:b/>
                <w:szCs w:val="21"/>
              </w:rPr>
            </w:pPr>
            <w:r>
              <w:rPr>
                <w:rFonts w:hint="eastAsia" w:asciiTheme="majorEastAsia" w:hAnsiTheme="majorEastAsia" w:eastAsiaTheme="majorEastAsia"/>
                <w:b/>
                <w:szCs w:val="21"/>
              </w:rPr>
              <w:t>费率　　　　　</w:t>
            </w:r>
          </w:p>
          <w:p w14:paraId="01A2176B">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14:paraId="124BC746">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14:paraId="33581636">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14:paraId="5AE46BD1">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14:paraId="1948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2A816E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14:paraId="1FE9BDE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12A0647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51559F8F">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14:paraId="3A91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2651458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14:paraId="4E0541FE">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14:paraId="731959BE">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13A456E5">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14:paraId="495E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5837E2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14:paraId="57E340E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7E5E1EC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14:paraId="59BD6537">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14:paraId="4019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9A0B24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14:paraId="0473948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14:paraId="3117AA3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701F6B89">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14:paraId="5D24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3F4D3C1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14:paraId="549DE12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292B719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14:paraId="18DCD27A">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14:paraId="5B71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14:paraId="38A58DB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14:paraId="4EF922E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7EAEFFF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30FE5B75">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14:paraId="7039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C223722">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14:paraId="6EB0277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27C6901E">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5336F945">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14:paraId="6B3C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D07DB72">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14:paraId="081297B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06A8006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6CC2CB60">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14:paraId="691E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4DA2CE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14:paraId="1F5791BE">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10691AD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22663B69">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14:paraId="57DE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14:paraId="4C6781A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14:paraId="321E95A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0728F6F2">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2BA51F68">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14:paraId="672AD49F">
      <w:pPr>
        <w:spacing w:line="360" w:lineRule="auto"/>
        <w:ind w:firstLine="411" w:firstLineChars="196"/>
        <w:rPr>
          <w:rFonts w:asciiTheme="majorEastAsia" w:hAnsiTheme="majorEastAsia" w:eastAsiaTheme="majorEastAsia"/>
          <w:szCs w:val="21"/>
        </w:rPr>
      </w:pPr>
    </w:p>
    <w:bookmarkEnd w:id="58"/>
    <w:p w14:paraId="1E8ABFDC">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公开招标失败的后续处理</w:t>
      </w:r>
    </w:p>
    <w:p w14:paraId="423449D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14:paraId="2385155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14:paraId="2B4563D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14:paraId="26BE8E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14:paraId="7CE5CF9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14:paraId="40312BB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14:paraId="59033B0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14:paraId="35AD644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14:paraId="40581230">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59" w:name="_Hlk72439043"/>
      <w:r>
        <w:rPr>
          <w:rFonts w:hint="eastAsia" w:asciiTheme="majorEastAsia" w:hAnsiTheme="majorEastAsia" w:eastAsiaTheme="majorEastAsia"/>
          <w:b/>
          <w:bCs/>
          <w:kern w:val="0"/>
          <w:sz w:val="28"/>
          <w:szCs w:val="28"/>
        </w:rPr>
        <w:t>合同的授予与备案</w:t>
      </w:r>
      <w:bookmarkEnd w:id="59"/>
    </w:p>
    <w:p w14:paraId="625EF6B0">
      <w:pPr>
        <w:spacing w:line="360" w:lineRule="auto"/>
        <w:rPr>
          <w:rFonts w:asciiTheme="majorEastAsia" w:hAnsiTheme="majorEastAsia" w:eastAsiaTheme="majorEastAsia"/>
          <w:b/>
          <w:bCs/>
          <w:szCs w:val="21"/>
        </w:rPr>
      </w:pPr>
      <w:bookmarkStart w:id="60" w:name="_Toc73517679"/>
      <w:bookmarkStart w:id="61" w:name="_Toc73518157"/>
      <w:bookmarkStart w:id="62" w:name="_Toc100052408"/>
      <w:bookmarkStart w:id="63" w:name="_Toc73521586"/>
      <w:bookmarkStart w:id="64" w:name="_Toc73521674"/>
      <w:bookmarkStart w:id="65" w:name="_Hlk72439088"/>
      <w:r>
        <w:rPr>
          <w:rFonts w:hint="eastAsia" w:asciiTheme="majorEastAsia" w:hAnsiTheme="majorEastAsia" w:eastAsiaTheme="majorEastAsia"/>
          <w:b/>
          <w:bCs/>
          <w:szCs w:val="21"/>
        </w:rPr>
        <w:t>43．合同授予标准</w:t>
      </w:r>
      <w:bookmarkEnd w:id="60"/>
      <w:bookmarkEnd w:id="61"/>
      <w:bookmarkEnd w:id="62"/>
      <w:bookmarkEnd w:id="63"/>
      <w:bookmarkEnd w:id="64"/>
    </w:p>
    <w:p w14:paraId="2403BBB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14:paraId="075896A4">
      <w:pPr>
        <w:spacing w:line="360" w:lineRule="auto"/>
        <w:rPr>
          <w:rFonts w:asciiTheme="majorEastAsia" w:hAnsiTheme="majorEastAsia" w:eastAsiaTheme="majorEastAsia"/>
          <w:b/>
          <w:bCs/>
          <w:szCs w:val="21"/>
        </w:rPr>
      </w:pPr>
      <w:bookmarkStart w:id="66" w:name="_Toc73521587"/>
      <w:bookmarkStart w:id="67" w:name="_Toc73517680"/>
      <w:bookmarkStart w:id="68" w:name="_Toc73518158"/>
      <w:bookmarkStart w:id="69" w:name="_Toc100052409"/>
      <w:bookmarkStart w:id="70" w:name="_Toc73521675"/>
      <w:r>
        <w:rPr>
          <w:rFonts w:hint="eastAsia" w:asciiTheme="majorEastAsia" w:hAnsiTheme="majorEastAsia" w:eastAsiaTheme="majorEastAsia"/>
          <w:b/>
          <w:bCs/>
          <w:szCs w:val="21"/>
        </w:rPr>
        <w:t>44．</w:t>
      </w:r>
      <w:bookmarkEnd w:id="66"/>
      <w:bookmarkEnd w:id="67"/>
      <w:bookmarkEnd w:id="68"/>
      <w:bookmarkEnd w:id="69"/>
      <w:bookmarkEnd w:id="70"/>
      <w:r>
        <w:rPr>
          <w:rFonts w:hint="eastAsia" w:asciiTheme="majorEastAsia" w:hAnsiTheme="majorEastAsia" w:eastAsiaTheme="majorEastAsia"/>
          <w:b/>
          <w:bCs/>
          <w:szCs w:val="21"/>
        </w:rPr>
        <w:t>接受和拒绝任何或所有投标的权力</w:t>
      </w:r>
    </w:p>
    <w:p w14:paraId="139EE13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6F170E17">
      <w:pPr>
        <w:spacing w:line="360" w:lineRule="auto"/>
        <w:rPr>
          <w:rFonts w:asciiTheme="majorEastAsia" w:hAnsiTheme="majorEastAsia" w:eastAsiaTheme="majorEastAsia"/>
          <w:b/>
          <w:bCs/>
          <w:szCs w:val="21"/>
        </w:rPr>
      </w:pPr>
      <w:bookmarkStart w:id="71" w:name="_Toc100052410"/>
      <w:bookmarkStart w:id="72" w:name="_Toc73517682"/>
      <w:bookmarkStart w:id="73" w:name="_Toc73518160"/>
      <w:bookmarkStart w:id="74" w:name="_Toc73521677"/>
      <w:bookmarkStart w:id="75" w:name="_Toc73521589"/>
      <w:r>
        <w:rPr>
          <w:rFonts w:hint="eastAsia" w:asciiTheme="majorEastAsia" w:hAnsiTheme="majorEastAsia" w:eastAsiaTheme="majorEastAsia"/>
          <w:b/>
          <w:bCs/>
          <w:szCs w:val="21"/>
        </w:rPr>
        <w:t>45．合同的签订</w:t>
      </w:r>
      <w:bookmarkEnd w:id="71"/>
      <w:bookmarkEnd w:id="72"/>
      <w:bookmarkEnd w:id="73"/>
      <w:bookmarkEnd w:id="74"/>
      <w:bookmarkEnd w:id="75"/>
    </w:p>
    <w:p w14:paraId="4A97BC4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14:paraId="6BB3BD5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14:paraId="32F5D5C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14:paraId="29DDD2B2">
      <w:pPr>
        <w:spacing w:line="360" w:lineRule="auto"/>
        <w:rPr>
          <w:rFonts w:asciiTheme="majorEastAsia" w:hAnsiTheme="majorEastAsia" w:eastAsiaTheme="majorEastAsia"/>
          <w:b/>
          <w:bCs/>
          <w:szCs w:val="21"/>
        </w:rPr>
      </w:pPr>
      <w:bookmarkStart w:id="76" w:name="_Toc73517683"/>
      <w:bookmarkStart w:id="77" w:name="_Toc73518161"/>
      <w:bookmarkStart w:id="78" w:name="_Toc100052411"/>
      <w:bookmarkStart w:id="79" w:name="_Toc73521678"/>
      <w:bookmarkStart w:id="80" w:name="_Toc73521590"/>
      <w:r>
        <w:rPr>
          <w:rFonts w:hint="eastAsia" w:asciiTheme="majorEastAsia" w:hAnsiTheme="majorEastAsia" w:eastAsiaTheme="majorEastAsia"/>
          <w:b/>
          <w:bCs/>
          <w:szCs w:val="21"/>
        </w:rPr>
        <w:t>46．履约担保</w:t>
      </w:r>
      <w:bookmarkEnd w:id="76"/>
      <w:bookmarkEnd w:id="77"/>
      <w:bookmarkEnd w:id="78"/>
      <w:bookmarkEnd w:id="79"/>
      <w:bookmarkEnd w:id="80"/>
    </w:p>
    <w:p w14:paraId="2D7BEEB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14:paraId="66A9C1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14:paraId="765550A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14:paraId="1F87DFF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14:paraId="21EC002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14:paraId="248CCA5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14:paraId="732791E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14:paraId="6BA509E6">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14:paraId="22D0689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14:paraId="19E690AC">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14:paraId="30134A6E">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14:paraId="0318EB19">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14:paraId="5D10329A">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14:paraId="42B22E3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14:paraId="49EE101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175D1E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14:paraId="1CE4E25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14:paraId="7B0613C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14:paraId="4E5336F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14:paraId="183FC3B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14:paraId="273801D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14:paraId="2FD512D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14:paraId="1C2DD1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14:paraId="3B33D76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14:paraId="1E47028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81" w:name="_Hlk72440769"/>
      <w:r>
        <w:rPr>
          <w:rFonts w:hint="eastAsia" w:asciiTheme="majorEastAsia" w:hAnsiTheme="majorEastAsia" w:eastAsiaTheme="majorEastAsia"/>
          <w:szCs w:val="21"/>
        </w:rPr>
        <w:t>采购人或采购代理机构</w:t>
      </w:r>
      <w:bookmarkEnd w:id="81"/>
      <w:r>
        <w:rPr>
          <w:rFonts w:hint="eastAsia" w:asciiTheme="majorEastAsia" w:hAnsiTheme="majorEastAsia" w:eastAsiaTheme="majorEastAsia"/>
          <w:szCs w:val="21"/>
        </w:rPr>
        <w:t>可将有关情况报同级财政部门，由财政部门根据实际情况记入供应商诚信档案，予以通报：</w:t>
      </w:r>
    </w:p>
    <w:p w14:paraId="37C2B0F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14:paraId="6EAA931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14:paraId="1444E8E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14:paraId="3A1FD6EC">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65"/>
    <w:p w14:paraId="03E13AA0">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质疑处理</w:t>
      </w:r>
    </w:p>
    <w:p w14:paraId="581A0BA8">
      <w:pPr>
        <w:spacing w:line="360" w:lineRule="auto"/>
        <w:rPr>
          <w:rFonts w:asciiTheme="majorEastAsia" w:hAnsiTheme="majorEastAsia" w:eastAsiaTheme="majorEastAsia"/>
          <w:b/>
          <w:bCs/>
          <w:szCs w:val="21"/>
        </w:rPr>
      </w:pPr>
      <w:bookmarkStart w:id="82" w:name="_Hlk72439706"/>
      <w:r>
        <w:rPr>
          <w:rFonts w:hint="eastAsia" w:asciiTheme="majorEastAsia" w:hAnsiTheme="majorEastAsia" w:eastAsiaTheme="majorEastAsia"/>
          <w:b/>
          <w:bCs/>
          <w:szCs w:val="21"/>
        </w:rPr>
        <w:t>52.质疑提出与答复</w:t>
      </w:r>
    </w:p>
    <w:p w14:paraId="66C4727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14:paraId="511A8C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6439402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14:paraId="081FA2C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5BD564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14:paraId="65226C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83" w:name="_Hlk75374941"/>
      <w:r>
        <w:rPr>
          <w:rFonts w:hint="eastAsia" w:asciiTheme="majorEastAsia" w:hAnsiTheme="majorEastAsia" w:eastAsiaTheme="majorEastAsia"/>
          <w:szCs w:val="21"/>
        </w:rPr>
        <w:t>以联合体形式参与的，质疑应当由组成联合体的所有成员共同提出</w:t>
      </w:r>
      <w:bookmarkEnd w:id="83"/>
      <w:r>
        <w:rPr>
          <w:rFonts w:hint="eastAsia" w:asciiTheme="majorEastAsia" w:hAnsiTheme="majorEastAsia" w:eastAsiaTheme="majorEastAsia"/>
          <w:szCs w:val="21"/>
        </w:rPr>
        <w:t>；</w:t>
      </w:r>
    </w:p>
    <w:p w14:paraId="1FE90B8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634ACA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14:paraId="7EAFC3F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14:paraId="24C6145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5C54C3B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451BC2E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27355BF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5702437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0C7E6F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40827BD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10CEC13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14:paraId="4D9630D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4CFE41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04B86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14:paraId="438FF422">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供应商登录“深圳政府采购智慧平台用户网上办事子系统（http://zfcg.szggzy.com/TPBidder/memberLogin）”，在“【我的项目】→【项目流程】→【质疑】”中提出质疑。</w:t>
      </w:r>
    </w:p>
    <w:p w14:paraId="4EFC8622">
      <w:pPr>
        <w:spacing w:line="360" w:lineRule="auto"/>
        <w:ind w:firstLine="420" w:firstLineChars="20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2.5.2</w:t>
      </w:r>
      <w:r>
        <w:rPr>
          <w:rFonts w:hint="eastAsia" w:asciiTheme="majorEastAsia" w:hAnsiTheme="majorEastAsia" w:eastAsiaTheme="majorEastAsia"/>
          <w:szCs w:val="21"/>
        </w:rPr>
        <w:t>同时，请质疑供应商根据深圳政府采购智慧平台（http://zfcg.szggzy.com/）所发布的质疑指引、质疑函模板填写质疑函并提交质疑材料。</w:t>
      </w:r>
      <w:r>
        <w:rPr>
          <w:rFonts w:hint="eastAsia" w:asciiTheme="majorEastAsia" w:hAnsiTheme="majorEastAsia" w:eastAsiaTheme="majorEastAsia"/>
          <w:bCs/>
          <w:szCs w:val="21"/>
        </w:rPr>
        <w:t>地址：深圳市中正招标有限公司（深圳市福田区民田路171号新华保险大厦903），质疑咨询电话：0755-83026699。</w:t>
      </w:r>
    </w:p>
    <w:p w14:paraId="7A3C220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14:paraId="0DBDD50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5615DE5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14:paraId="318EF41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43596CC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55422F0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765C35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36A47E1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5AA007B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0624387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7F65C26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343831C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52.7质疑答复时限</w:t>
      </w:r>
    </w:p>
    <w:p w14:paraId="4430998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076C4B7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52.8投诉</w:t>
      </w:r>
    </w:p>
    <w:p w14:paraId="562637B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82"/>
    </w:p>
    <w:p w14:paraId="640BBEE3">
      <w:pPr>
        <w:widowControl/>
        <w:jc w:val="left"/>
        <w:rPr>
          <w:rFonts w:ascii="宋体" w:hAnsi="宋体"/>
          <w:b/>
          <w:bCs/>
          <w:kern w:val="0"/>
          <w:sz w:val="24"/>
          <w:szCs w:val="20"/>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8497"/>
    </w:sdtPr>
    <w:sdtContent>
      <w:p w14:paraId="2150AA38">
        <w:pPr>
          <w:pStyle w:val="28"/>
          <w:jc w:val="center"/>
        </w:pPr>
        <w:r>
          <w:fldChar w:fldCharType="begin"/>
        </w:r>
        <w:r>
          <w:instrText xml:space="preserve"> PAGE   \* MERGEFORMAT </w:instrText>
        </w:r>
        <w:r>
          <w:fldChar w:fldCharType="separate"/>
        </w:r>
        <w:r>
          <w:rPr>
            <w:lang w:val="zh-CN"/>
          </w:rPr>
          <w:t>92</w:t>
        </w:r>
        <w:r>
          <w:rPr>
            <w:lang w:val="zh-CN"/>
          </w:rPr>
          <w:fldChar w:fldCharType="end"/>
        </w:r>
      </w:p>
    </w:sdtContent>
  </w:sdt>
  <w:p w14:paraId="268F8997">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Y2NlZTUxZTg4YTBjODM4ODUxMDQwYzQ0MDFiZGYifQ=="/>
  </w:docVars>
  <w:rsids>
    <w:rsidRoot w:val="00000000"/>
    <w:rsid w:val="025C7402"/>
    <w:rsid w:val="08B92696"/>
    <w:rsid w:val="09DE67B4"/>
    <w:rsid w:val="14EB0F21"/>
    <w:rsid w:val="1E3A16E5"/>
    <w:rsid w:val="1F877F32"/>
    <w:rsid w:val="23026DC6"/>
    <w:rsid w:val="24540531"/>
    <w:rsid w:val="29A9603F"/>
    <w:rsid w:val="31E03229"/>
    <w:rsid w:val="331917AA"/>
    <w:rsid w:val="367125DA"/>
    <w:rsid w:val="40EA5463"/>
    <w:rsid w:val="48710218"/>
    <w:rsid w:val="4ADA5235"/>
    <w:rsid w:val="4E6B52B7"/>
    <w:rsid w:val="55FD133D"/>
    <w:rsid w:val="598A38DE"/>
    <w:rsid w:val="5A9304C2"/>
    <w:rsid w:val="5AA169BD"/>
    <w:rsid w:val="64917820"/>
    <w:rsid w:val="6F97711F"/>
    <w:rsid w:val="739F034D"/>
    <w:rsid w:val="7AEF41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55"/>
    <w:qFormat/>
    <w:uiPriority w:val="9"/>
    <w:pPr>
      <w:spacing w:before="340" w:after="330" w:line="360" w:lineRule="auto"/>
      <w:jc w:val="center"/>
      <w:outlineLvl w:val="0"/>
    </w:pPr>
    <w:rPr>
      <w:rFonts w:eastAsia="黑体"/>
      <w:kern w:val="44"/>
      <w:szCs w:val="44"/>
    </w:rPr>
  </w:style>
  <w:style w:type="paragraph" w:styleId="4">
    <w:name w:val="heading 2"/>
    <w:basedOn w:val="1"/>
    <w:next w:val="1"/>
    <w:link w:val="56"/>
    <w:qFormat/>
    <w:uiPriority w:val="0"/>
    <w:pPr>
      <w:adjustRightInd w:val="0"/>
      <w:jc w:val="center"/>
      <w:textAlignment w:val="baseline"/>
      <w:outlineLvl w:val="1"/>
    </w:pPr>
    <w:rPr>
      <w:sz w:val="24"/>
      <w:szCs w:val="20"/>
    </w:rPr>
  </w:style>
  <w:style w:type="paragraph" w:styleId="3">
    <w:name w:val="heading 3"/>
    <w:basedOn w:val="1"/>
    <w:next w:val="1"/>
    <w:link w:val="63"/>
    <w:qFormat/>
    <w:uiPriority w:val="9"/>
    <w:pPr>
      <w:spacing w:before="260" w:after="260"/>
      <w:outlineLvl w:val="2"/>
    </w:pPr>
    <w:rPr>
      <w:rFonts w:ascii="宋体" w:hAnsi="宋体"/>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link w:val="52"/>
    <w:qFormat/>
    <w:uiPriority w:val="0"/>
    <w:pPr>
      <w:keepNext/>
      <w:keepLines/>
      <w:spacing w:before="280" w:after="290" w:line="376" w:lineRule="auto"/>
      <w:outlineLvl w:val="4"/>
    </w:pPr>
    <w:rPr>
      <w:rFonts w:ascii="Times New Roman" w:hAnsi="Times New Roman"/>
      <w:b/>
      <w:kern w:val="0"/>
      <w:sz w:val="28"/>
      <w:szCs w:val="20"/>
    </w:rPr>
  </w:style>
  <w:style w:type="paragraph" w:styleId="8">
    <w:name w:val="heading 6"/>
    <w:basedOn w:val="1"/>
    <w:next w:val="7"/>
    <w:link w:val="59"/>
    <w:qFormat/>
    <w:uiPriority w:val="0"/>
    <w:pPr>
      <w:keepNext/>
      <w:keepLines/>
      <w:spacing w:before="240" w:after="64" w:line="320" w:lineRule="auto"/>
      <w:outlineLvl w:val="5"/>
    </w:pPr>
    <w:rPr>
      <w:rFonts w:ascii="Arial" w:hAnsi="Arial" w:eastAsia="黑体"/>
      <w:b/>
      <w:kern w:val="0"/>
      <w:sz w:val="24"/>
      <w:szCs w:val="20"/>
    </w:rPr>
  </w:style>
  <w:style w:type="paragraph" w:styleId="9">
    <w:name w:val="heading 7"/>
    <w:basedOn w:val="1"/>
    <w:next w:val="7"/>
    <w:link w:val="60"/>
    <w:qFormat/>
    <w:uiPriority w:val="0"/>
    <w:pPr>
      <w:keepNext/>
      <w:keepLines/>
      <w:spacing w:before="240" w:after="64" w:line="320" w:lineRule="auto"/>
      <w:outlineLvl w:val="6"/>
    </w:pPr>
    <w:rPr>
      <w:rFonts w:ascii="Times New Roman" w:hAnsi="Times New Roman"/>
      <w:b/>
      <w:kern w:val="0"/>
      <w:sz w:val="24"/>
      <w:szCs w:val="20"/>
    </w:rPr>
  </w:style>
  <w:style w:type="paragraph" w:styleId="10">
    <w:name w:val="heading 8"/>
    <w:basedOn w:val="1"/>
    <w:next w:val="7"/>
    <w:link w:val="61"/>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7"/>
    <w:link w:val="62"/>
    <w:qFormat/>
    <w:uiPriority w:val="0"/>
    <w:pPr>
      <w:keepNext/>
      <w:keepLines/>
      <w:spacing w:before="240" w:after="64" w:line="320" w:lineRule="auto"/>
      <w:outlineLvl w:val="8"/>
    </w:pPr>
    <w:rPr>
      <w:rFonts w:ascii="Arial" w:hAnsi="Arial" w:eastAsia="黑体"/>
      <w:kern w:val="0"/>
      <w:sz w:val="20"/>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5"/>
    <w:qFormat/>
    <w:uiPriority w:val="0"/>
    <w:pPr>
      <w:ind w:firstLine="420"/>
    </w:pPr>
    <w:rPr>
      <w:rFonts w:ascii="Times New Roman" w:hAnsi="Times New Roman"/>
      <w:kern w:val="0"/>
      <w:sz w:val="20"/>
      <w:szCs w:val="20"/>
    </w:rPr>
  </w:style>
  <w:style w:type="paragraph" w:styleId="12">
    <w:name w:val="toc 7"/>
    <w:basedOn w:val="1"/>
    <w:next w:val="1"/>
    <w:semiHidden/>
    <w:qFormat/>
    <w:uiPriority w:val="0"/>
    <w:pPr>
      <w:ind w:left="1260"/>
      <w:jc w:val="left"/>
    </w:pPr>
    <w:rPr>
      <w:rFonts w:ascii="Times New Roman" w:hAnsi="Times New Roman"/>
      <w:szCs w:val="21"/>
    </w:rPr>
  </w:style>
  <w:style w:type="paragraph" w:styleId="13">
    <w:name w:val="index 8"/>
    <w:basedOn w:val="1"/>
    <w:next w:val="1"/>
    <w:unhideWhenUsed/>
    <w:qFormat/>
    <w:uiPriority w:val="99"/>
    <w:pPr>
      <w:ind w:left="1400" w:leftChars="1400"/>
    </w:p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tabs>
        <w:tab w:val="left" w:pos="360"/>
      </w:tabs>
      <w:ind w:left="360" w:hanging="360"/>
    </w:pPr>
    <w:rPr>
      <w:rFonts w:ascii="Times New Roman" w:hAnsi="Times New Roman"/>
      <w:szCs w:val="20"/>
    </w:rPr>
  </w:style>
  <w:style w:type="paragraph" w:styleId="16">
    <w:name w:val="Document Map"/>
    <w:basedOn w:val="1"/>
    <w:link w:val="115"/>
    <w:semiHidden/>
    <w:qFormat/>
    <w:uiPriority w:val="0"/>
    <w:pPr>
      <w:shd w:val="clear" w:color="auto" w:fill="000080"/>
    </w:pPr>
    <w:rPr>
      <w:rFonts w:ascii="Times New Roman" w:hAnsi="Times New Roman"/>
      <w:kern w:val="0"/>
      <w:sz w:val="20"/>
      <w:szCs w:val="24"/>
    </w:rPr>
  </w:style>
  <w:style w:type="paragraph" w:styleId="17">
    <w:name w:val="annotation text"/>
    <w:basedOn w:val="1"/>
    <w:link w:val="119"/>
    <w:qFormat/>
    <w:uiPriority w:val="0"/>
    <w:pPr>
      <w:autoSpaceDE w:val="0"/>
      <w:autoSpaceDN w:val="0"/>
      <w:adjustRightInd w:val="0"/>
      <w:jc w:val="left"/>
      <w:textAlignment w:val="baseline"/>
    </w:pPr>
    <w:rPr>
      <w:rFonts w:ascii="宋体" w:hAnsi="Times New Roman"/>
      <w:kern w:val="0"/>
      <w:sz w:val="34"/>
      <w:szCs w:val="20"/>
    </w:rPr>
  </w:style>
  <w:style w:type="paragraph" w:styleId="18">
    <w:name w:val="Body Text 3"/>
    <w:basedOn w:val="1"/>
    <w:link w:val="113"/>
    <w:qFormat/>
    <w:uiPriority w:val="0"/>
    <w:pPr>
      <w:spacing w:after="120"/>
    </w:pPr>
    <w:rPr>
      <w:rFonts w:ascii="Times New Roman" w:hAnsi="Times New Roman"/>
      <w:kern w:val="0"/>
      <w:sz w:val="16"/>
      <w:szCs w:val="16"/>
    </w:rPr>
  </w:style>
  <w:style w:type="paragraph" w:styleId="19">
    <w:name w:val="Body Text"/>
    <w:basedOn w:val="1"/>
    <w:next w:val="1"/>
    <w:link w:val="117"/>
    <w:qFormat/>
    <w:uiPriority w:val="0"/>
    <w:pPr>
      <w:spacing w:line="360" w:lineRule="auto"/>
    </w:pPr>
    <w:rPr>
      <w:rFonts w:ascii="Times New Roman" w:hAnsi="Times New Roman"/>
      <w:b/>
      <w:bCs/>
      <w:kern w:val="0"/>
      <w:sz w:val="24"/>
      <w:szCs w:val="24"/>
    </w:rPr>
  </w:style>
  <w:style w:type="paragraph" w:styleId="20">
    <w:name w:val="Body Text Indent"/>
    <w:basedOn w:val="1"/>
    <w:link w:val="118"/>
    <w:qFormat/>
    <w:uiPriority w:val="0"/>
    <w:pPr>
      <w:spacing w:line="360" w:lineRule="auto"/>
      <w:ind w:firstLine="420" w:firstLineChars="200"/>
    </w:pPr>
    <w:rPr>
      <w:rFonts w:ascii="Times New Roman" w:hAnsi="Times New Roman"/>
      <w:kern w:val="0"/>
      <w:sz w:val="20"/>
      <w:szCs w:val="24"/>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next w:val="13"/>
    <w:link w:val="114"/>
    <w:qFormat/>
    <w:uiPriority w:val="0"/>
    <w:rPr>
      <w:rFonts w:ascii="宋体" w:hAnsi="Courier New"/>
      <w:kern w:val="0"/>
      <w:sz w:val="20"/>
      <w:szCs w:val="20"/>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116"/>
    <w:qFormat/>
    <w:uiPriority w:val="0"/>
    <w:rPr>
      <w:rFonts w:ascii="宋体" w:hAnsi="Courier New"/>
      <w:kern w:val="0"/>
      <w:sz w:val="32"/>
      <w:szCs w:val="20"/>
    </w:rPr>
  </w:style>
  <w:style w:type="paragraph" w:styleId="26">
    <w:name w:val="Body Text Indent 2"/>
    <w:basedOn w:val="1"/>
    <w:link w:val="121"/>
    <w:qFormat/>
    <w:uiPriority w:val="0"/>
    <w:pPr>
      <w:spacing w:beforeLines="50" w:afterLines="50" w:line="120" w:lineRule="auto"/>
      <w:ind w:firstLine="840" w:firstLineChars="400"/>
      <w:jc w:val="left"/>
    </w:pPr>
    <w:rPr>
      <w:rFonts w:ascii="宋体" w:hAnsi="宋体"/>
      <w:kern w:val="0"/>
      <w:sz w:val="20"/>
      <w:szCs w:val="24"/>
    </w:rPr>
  </w:style>
  <w:style w:type="paragraph" w:styleId="27">
    <w:name w:val="Balloon Text"/>
    <w:basedOn w:val="1"/>
    <w:link w:val="123"/>
    <w:qFormat/>
    <w:uiPriority w:val="99"/>
    <w:rPr>
      <w:rFonts w:ascii="Times New Roman" w:hAnsi="Times New Roman"/>
      <w:kern w:val="0"/>
      <w:sz w:val="18"/>
      <w:szCs w:val="18"/>
    </w:rPr>
  </w:style>
  <w:style w:type="paragraph" w:styleId="28">
    <w:name w:val="footer"/>
    <w:basedOn w:val="1"/>
    <w:link w:val="54"/>
    <w:unhideWhenUsed/>
    <w:qFormat/>
    <w:uiPriority w:val="99"/>
    <w:pPr>
      <w:tabs>
        <w:tab w:val="center" w:pos="4153"/>
        <w:tab w:val="right" w:pos="8306"/>
      </w:tabs>
      <w:snapToGrid w:val="0"/>
      <w:jc w:val="left"/>
    </w:pPr>
    <w:rPr>
      <w:sz w:val="18"/>
      <w:szCs w:val="18"/>
    </w:rPr>
  </w:style>
  <w:style w:type="paragraph" w:styleId="29">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rFonts w:ascii="Times New Roman" w:hAnsi="Times New Roman"/>
      <w:b/>
      <w:bCs/>
      <w:caps/>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toc 6"/>
    <w:basedOn w:val="1"/>
    <w:next w:val="1"/>
    <w:semiHidden/>
    <w:qFormat/>
    <w:uiPriority w:val="0"/>
    <w:pPr>
      <w:ind w:left="1050"/>
      <w:jc w:val="left"/>
    </w:pPr>
    <w:rPr>
      <w:rFonts w:ascii="Times New Roman" w:hAnsi="Times New Roman"/>
      <w:szCs w:val="21"/>
    </w:rPr>
  </w:style>
  <w:style w:type="paragraph" w:styleId="33">
    <w:name w:val="Body Text Indent 3"/>
    <w:basedOn w:val="1"/>
    <w:link w:val="124"/>
    <w:qFormat/>
    <w:uiPriority w:val="0"/>
    <w:pPr>
      <w:spacing w:line="360" w:lineRule="auto"/>
      <w:ind w:firstLine="482" w:firstLineChars="200"/>
    </w:pPr>
    <w:rPr>
      <w:rFonts w:ascii="宋体" w:hAnsi="Times New Roman"/>
      <w:b/>
      <w:bCs/>
      <w:kern w:val="0"/>
      <w:sz w:val="24"/>
      <w:szCs w:val="24"/>
    </w:rPr>
  </w:style>
  <w:style w:type="paragraph" w:styleId="34">
    <w:name w:val="toc 2"/>
    <w:basedOn w:val="1"/>
    <w:next w:val="1"/>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szCs w:val="21"/>
    </w:rPr>
  </w:style>
  <w:style w:type="paragraph" w:styleId="36">
    <w:name w:val="Body Text 2"/>
    <w:basedOn w:val="1"/>
    <w:link w:val="122"/>
    <w:qFormat/>
    <w:uiPriority w:val="0"/>
    <w:pPr>
      <w:spacing w:line="360" w:lineRule="auto"/>
    </w:pPr>
    <w:rPr>
      <w:rFonts w:ascii="Times New Roman" w:hAnsi="Times New Roman"/>
      <w:kern w:val="0"/>
      <w:sz w:val="24"/>
      <w:szCs w:val="24"/>
    </w:rPr>
  </w:style>
  <w:style w:type="paragraph" w:styleId="37">
    <w:name w:val="HTML Preformatted"/>
    <w:basedOn w:val="1"/>
    <w:link w:val="1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125"/>
    <w:qFormat/>
    <w:uiPriority w:val="0"/>
    <w:pPr>
      <w:spacing w:before="240" w:after="60"/>
      <w:jc w:val="center"/>
      <w:outlineLvl w:val="0"/>
    </w:pPr>
    <w:rPr>
      <w:rFonts w:ascii="Arial" w:hAnsi="Arial" w:eastAsia="隶书"/>
      <w:b/>
      <w:bCs/>
      <w:kern w:val="0"/>
      <w:sz w:val="32"/>
      <w:szCs w:val="32"/>
    </w:rPr>
  </w:style>
  <w:style w:type="paragraph" w:styleId="41">
    <w:name w:val="annotation subject"/>
    <w:basedOn w:val="17"/>
    <w:next w:val="17"/>
    <w:link w:val="126"/>
    <w:qFormat/>
    <w:uiPriority w:val="99"/>
    <w:pPr>
      <w:autoSpaceDE/>
      <w:autoSpaceDN/>
      <w:adjustRightInd/>
      <w:textAlignment w:val="auto"/>
    </w:pPr>
    <w:rPr>
      <w:rFonts w:ascii="Times New Roman"/>
      <w:b/>
      <w:bCs/>
      <w:szCs w:val="24"/>
    </w:rPr>
  </w:style>
  <w:style w:type="paragraph" w:styleId="42">
    <w:name w:val="Body Text First Indent"/>
    <w:basedOn w:val="19"/>
    <w:link w:val="127"/>
    <w:qFormat/>
    <w:uiPriority w:val="0"/>
    <w:pPr>
      <w:spacing w:after="120" w:line="240" w:lineRule="auto"/>
      <w:ind w:firstLine="420" w:firstLineChars="100"/>
    </w:pPr>
    <w:rPr>
      <w:sz w:val="20"/>
    </w:rPr>
  </w:style>
  <w:style w:type="paragraph" w:styleId="43">
    <w:name w:val="Body Text First Indent 2"/>
    <w:basedOn w:val="20"/>
    <w:link w:val="219"/>
    <w:qFormat/>
    <w:uiPriority w:val="99"/>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basedOn w:val="46"/>
    <w:unhideWhenUsed/>
    <w:qFormat/>
    <w:uiPriority w:val="99"/>
    <w:rPr>
      <w:color w:val="800080"/>
      <w:u w:val="single"/>
    </w:rPr>
  </w:style>
  <w:style w:type="character" w:styleId="50">
    <w:name w:val="Hyperlink"/>
    <w:qFormat/>
    <w:uiPriority w:val="0"/>
    <w:rPr>
      <w:color w:val="0000FF"/>
      <w:u w:val="single"/>
    </w:rPr>
  </w:style>
  <w:style w:type="character" w:styleId="51">
    <w:name w:val="annotation reference"/>
    <w:qFormat/>
    <w:uiPriority w:val="0"/>
    <w:rPr>
      <w:sz w:val="21"/>
      <w:szCs w:val="21"/>
    </w:rPr>
  </w:style>
  <w:style w:type="character" w:customStyle="1" w:styleId="52">
    <w:name w:val="标题 5 字符"/>
    <w:basedOn w:val="46"/>
    <w:link w:val="6"/>
    <w:qFormat/>
    <w:uiPriority w:val="0"/>
    <w:rPr>
      <w:rFonts w:ascii="Times New Roman" w:hAnsi="Times New Roman" w:eastAsia="宋体" w:cs="Times New Roman"/>
      <w:b/>
      <w:kern w:val="0"/>
      <w:sz w:val="28"/>
      <w:szCs w:val="20"/>
    </w:rPr>
  </w:style>
  <w:style w:type="character" w:customStyle="1" w:styleId="53">
    <w:name w:val="页眉 字符"/>
    <w:basedOn w:val="46"/>
    <w:link w:val="29"/>
    <w:qFormat/>
    <w:uiPriority w:val="99"/>
    <w:rPr>
      <w:sz w:val="18"/>
      <w:szCs w:val="18"/>
    </w:rPr>
  </w:style>
  <w:style w:type="character" w:customStyle="1" w:styleId="54">
    <w:name w:val="页脚 字符"/>
    <w:basedOn w:val="46"/>
    <w:link w:val="28"/>
    <w:qFormat/>
    <w:uiPriority w:val="99"/>
    <w:rPr>
      <w:sz w:val="18"/>
      <w:szCs w:val="18"/>
    </w:rPr>
  </w:style>
  <w:style w:type="character" w:customStyle="1" w:styleId="55">
    <w:name w:val="标题 1 字符"/>
    <w:basedOn w:val="46"/>
    <w:link w:val="2"/>
    <w:qFormat/>
    <w:uiPriority w:val="9"/>
    <w:rPr>
      <w:rFonts w:ascii="宋体" w:hAnsi="宋体" w:eastAsia="黑体" w:cs="Times New Roman"/>
      <w:b/>
      <w:bCs/>
      <w:kern w:val="44"/>
      <w:sz w:val="28"/>
      <w:szCs w:val="44"/>
    </w:rPr>
  </w:style>
  <w:style w:type="character" w:customStyle="1" w:styleId="56">
    <w:name w:val="标题 2 字符"/>
    <w:basedOn w:val="46"/>
    <w:link w:val="4"/>
    <w:qFormat/>
    <w:uiPriority w:val="0"/>
    <w:rPr>
      <w:rFonts w:ascii="宋体" w:hAnsi="宋体" w:eastAsia="宋体" w:cs="Times New Roman"/>
      <w:b/>
      <w:bCs/>
      <w:kern w:val="0"/>
      <w:sz w:val="24"/>
      <w:szCs w:val="20"/>
    </w:rPr>
  </w:style>
  <w:style w:type="character" w:customStyle="1" w:styleId="57">
    <w:name w:val="标题 3 Char"/>
    <w:basedOn w:val="46"/>
    <w:qFormat/>
    <w:uiPriority w:val="9"/>
    <w:rPr>
      <w:rFonts w:ascii="Calibri" w:hAnsi="Calibri" w:eastAsia="宋体" w:cs="Times New Roman"/>
      <w:b/>
      <w:bCs/>
      <w:sz w:val="32"/>
      <w:szCs w:val="32"/>
    </w:rPr>
  </w:style>
  <w:style w:type="character" w:customStyle="1" w:styleId="58">
    <w:name w:val="标题 4 字符"/>
    <w:basedOn w:val="46"/>
    <w:link w:val="5"/>
    <w:qFormat/>
    <w:uiPriority w:val="0"/>
    <w:rPr>
      <w:rFonts w:ascii="Arial" w:hAnsi="Arial" w:eastAsia="黑体" w:cs="Times New Roman"/>
      <w:b/>
      <w:bCs/>
      <w:kern w:val="0"/>
      <w:sz w:val="28"/>
      <w:szCs w:val="28"/>
    </w:rPr>
  </w:style>
  <w:style w:type="character" w:customStyle="1" w:styleId="59">
    <w:name w:val="标题 6 字符"/>
    <w:basedOn w:val="46"/>
    <w:link w:val="8"/>
    <w:qFormat/>
    <w:uiPriority w:val="0"/>
    <w:rPr>
      <w:rFonts w:ascii="Arial" w:hAnsi="Arial" w:eastAsia="黑体" w:cs="Times New Roman"/>
      <w:b/>
      <w:kern w:val="0"/>
      <w:sz w:val="24"/>
      <w:szCs w:val="20"/>
    </w:rPr>
  </w:style>
  <w:style w:type="character" w:customStyle="1" w:styleId="60">
    <w:name w:val="标题 7 字符"/>
    <w:basedOn w:val="46"/>
    <w:link w:val="9"/>
    <w:qFormat/>
    <w:uiPriority w:val="0"/>
    <w:rPr>
      <w:rFonts w:ascii="Times New Roman" w:hAnsi="Times New Roman" w:eastAsia="宋体" w:cs="Times New Roman"/>
      <w:b/>
      <w:kern w:val="0"/>
      <w:sz w:val="24"/>
      <w:szCs w:val="20"/>
    </w:rPr>
  </w:style>
  <w:style w:type="character" w:customStyle="1" w:styleId="61">
    <w:name w:val="标题 8 字符"/>
    <w:basedOn w:val="46"/>
    <w:link w:val="10"/>
    <w:qFormat/>
    <w:uiPriority w:val="0"/>
    <w:rPr>
      <w:rFonts w:ascii="Arial" w:hAnsi="Arial" w:eastAsia="黑体" w:cs="Times New Roman"/>
      <w:kern w:val="0"/>
      <w:sz w:val="24"/>
      <w:szCs w:val="20"/>
    </w:rPr>
  </w:style>
  <w:style w:type="character" w:customStyle="1" w:styleId="62">
    <w:name w:val="标题 9 字符"/>
    <w:basedOn w:val="46"/>
    <w:link w:val="11"/>
    <w:qFormat/>
    <w:uiPriority w:val="0"/>
    <w:rPr>
      <w:rFonts w:ascii="Arial" w:hAnsi="Arial" w:eastAsia="黑体" w:cs="Times New Roman"/>
      <w:kern w:val="0"/>
      <w:sz w:val="20"/>
      <w:szCs w:val="20"/>
    </w:rPr>
  </w:style>
  <w:style w:type="character" w:customStyle="1" w:styleId="63">
    <w:name w:val="标题 3 字符"/>
    <w:link w:val="3"/>
    <w:qFormat/>
    <w:uiPriority w:val="0"/>
    <w:rPr>
      <w:rFonts w:ascii="宋体" w:hAnsi="宋体" w:eastAsia="宋体" w:cs="Times New Roman"/>
      <w:b/>
      <w:bCs/>
      <w:kern w:val="0"/>
      <w:sz w:val="28"/>
      <w:szCs w:val="32"/>
    </w:rPr>
  </w:style>
  <w:style w:type="character" w:customStyle="1" w:styleId="64">
    <w:name w:val="--规划正文 Char Char"/>
    <w:qFormat/>
    <w:uiPriority w:val="0"/>
    <w:rPr>
      <w:rFonts w:eastAsia="宋体"/>
      <w:kern w:val="2"/>
      <w:sz w:val="24"/>
      <w:szCs w:val="24"/>
      <w:lang w:val="en-US" w:eastAsia="zh-CN" w:bidi="ar-SA"/>
    </w:rPr>
  </w:style>
  <w:style w:type="character" w:customStyle="1" w:styleId="65">
    <w:name w:val="grame"/>
    <w:basedOn w:val="46"/>
    <w:qFormat/>
    <w:uiPriority w:val="0"/>
  </w:style>
  <w:style w:type="character" w:customStyle="1" w:styleId="66">
    <w:name w:val="font"/>
    <w:basedOn w:val="46"/>
    <w:qFormat/>
    <w:uiPriority w:val="0"/>
  </w:style>
  <w:style w:type="character" w:customStyle="1" w:styleId="67">
    <w:name w:val="font2"/>
    <w:basedOn w:val="46"/>
    <w:qFormat/>
    <w:uiPriority w:val="0"/>
  </w:style>
  <w:style w:type="character" w:customStyle="1" w:styleId="68">
    <w:name w:val="unnamed4"/>
    <w:basedOn w:val="46"/>
    <w:qFormat/>
    <w:uiPriority w:val="0"/>
  </w:style>
  <w:style w:type="character" w:customStyle="1" w:styleId="69">
    <w:name w:val="样式 小三 加粗"/>
    <w:autoRedefine/>
    <w:qFormat/>
    <w:uiPriority w:val="0"/>
    <w:rPr>
      <w:rFonts w:eastAsia="宋体"/>
      <w:b/>
      <w:bCs/>
      <w:sz w:val="32"/>
    </w:rPr>
  </w:style>
  <w:style w:type="character" w:customStyle="1" w:styleId="70">
    <w:name w:val="z-窗体顶端 Char"/>
    <w:basedOn w:val="46"/>
    <w:qFormat/>
    <w:uiPriority w:val="0"/>
    <w:rPr>
      <w:rFonts w:ascii="Arial" w:hAnsi="Arial" w:eastAsia="宋体" w:cs="Times New Roman"/>
      <w:vanish/>
      <w:kern w:val="0"/>
      <w:sz w:val="16"/>
      <w:szCs w:val="16"/>
      <w:lang w:val="en-US" w:eastAsia="zh-CN"/>
    </w:rPr>
  </w:style>
  <w:style w:type="paragraph" w:customStyle="1" w:styleId="71">
    <w:name w:val="z-窗体顶端1"/>
    <w:basedOn w:val="1"/>
    <w:next w:val="1"/>
    <w:link w:val="181"/>
    <w:qFormat/>
    <w:uiPriority w:val="0"/>
    <w:pPr>
      <w:widowControl/>
      <w:pBdr>
        <w:bottom w:val="single" w:color="auto" w:sz="6" w:space="1"/>
      </w:pBdr>
      <w:jc w:val="center"/>
    </w:pPr>
    <w:rPr>
      <w:rFonts w:ascii="Arial" w:hAnsi="Arial"/>
      <w:vanish/>
      <w:kern w:val="0"/>
      <w:sz w:val="16"/>
      <w:szCs w:val="16"/>
    </w:rPr>
  </w:style>
  <w:style w:type="character" w:customStyle="1" w:styleId="72">
    <w:name w:val="批注文字 Char"/>
    <w:basedOn w:val="46"/>
    <w:qFormat/>
    <w:uiPriority w:val="0"/>
    <w:rPr>
      <w:rFonts w:ascii="宋体" w:hAnsi="Times New Roman" w:eastAsia="宋体" w:cs="Times New Roman"/>
      <w:kern w:val="0"/>
      <w:sz w:val="34"/>
      <w:szCs w:val="20"/>
    </w:rPr>
  </w:style>
  <w:style w:type="character" w:customStyle="1" w:styleId="73">
    <w:name w:val="标题 Char"/>
    <w:basedOn w:val="46"/>
    <w:qFormat/>
    <w:uiPriority w:val="0"/>
    <w:rPr>
      <w:rFonts w:ascii="Arial" w:hAnsi="Arial" w:eastAsia="隶书" w:cs="Times New Roman"/>
      <w:b/>
      <w:bCs/>
      <w:kern w:val="0"/>
      <w:sz w:val="32"/>
      <w:szCs w:val="32"/>
    </w:rPr>
  </w:style>
  <w:style w:type="character" w:customStyle="1" w:styleId="74">
    <w:name w:val="正文文本 Char"/>
    <w:basedOn w:val="46"/>
    <w:semiHidden/>
    <w:qFormat/>
    <w:uiPriority w:val="99"/>
    <w:rPr>
      <w:rFonts w:ascii="Calibri" w:hAnsi="Calibri" w:eastAsia="宋体" w:cs="Times New Roman"/>
    </w:rPr>
  </w:style>
  <w:style w:type="character" w:customStyle="1" w:styleId="75">
    <w:name w:val="正文缩进 字符"/>
    <w:link w:val="7"/>
    <w:qFormat/>
    <w:uiPriority w:val="0"/>
    <w:rPr>
      <w:rFonts w:ascii="Times New Roman" w:hAnsi="Times New Roman" w:eastAsia="宋体" w:cs="Times New Roman"/>
      <w:kern w:val="0"/>
      <w:sz w:val="20"/>
      <w:szCs w:val="20"/>
    </w:rPr>
  </w:style>
  <w:style w:type="character" w:customStyle="1" w:styleId="76">
    <w:name w:val="日期 Char"/>
    <w:basedOn w:val="46"/>
    <w:qFormat/>
    <w:uiPriority w:val="0"/>
    <w:rPr>
      <w:rFonts w:ascii="宋体" w:hAnsi="Courier New" w:eastAsia="宋体" w:cs="Times New Roman"/>
      <w:kern w:val="0"/>
      <w:sz w:val="32"/>
      <w:szCs w:val="20"/>
    </w:rPr>
  </w:style>
  <w:style w:type="character" w:customStyle="1" w:styleId="77">
    <w:name w:val="正文文字首行缩进 Char"/>
    <w:qFormat/>
    <w:uiPriority w:val="0"/>
    <w:rPr>
      <w:kern w:val="2"/>
      <w:sz w:val="21"/>
      <w:szCs w:val="24"/>
    </w:rPr>
  </w:style>
  <w:style w:type="character" w:customStyle="1" w:styleId="78">
    <w:name w:val="unnamed3"/>
    <w:basedOn w:val="46"/>
    <w:qFormat/>
    <w:uiPriority w:val="0"/>
  </w:style>
  <w:style w:type="character" w:customStyle="1" w:styleId="79">
    <w:name w:val="批注主题 Char"/>
    <w:basedOn w:val="72"/>
    <w:qFormat/>
    <w:uiPriority w:val="99"/>
    <w:rPr>
      <w:rFonts w:ascii="Times New Roman" w:hAnsi="Times New Roman" w:eastAsia="宋体" w:cs="Times New Roman"/>
      <w:b/>
      <w:bCs/>
      <w:kern w:val="0"/>
      <w:sz w:val="34"/>
      <w:szCs w:val="24"/>
    </w:rPr>
  </w:style>
  <w:style w:type="character" w:customStyle="1" w:styleId="80">
    <w:name w:val="gray6"/>
    <w:basedOn w:val="46"/>
    <w:qFormat/>
    <w:uiPriority w:val="0"/>
  </w:style>
  <w:style w:type="character" w:customStyle="1" w:styleId="81">
    <w:name w:val="纯文本 Char"/>
    <w:basedOn w:val="46"/>
    <w:qFormat/>
    <w:uiPriority w:val="0"/>
    <w:rPr>
      <w:rFonts w:ascii="宋体" w:hAnsi="Courier New" w:eastAsia="宋体" w:cs="Times New Roman"/>
      <w:kern w:val="0"/>
      <w:sz w:val="20"/>
      <w:szCs w:val="20"/>
    </w:rPr>
  </w:style>
  <w:style w:type="character" w:customStyle="1" w:styleId="82">
    <w:name w:val="正文文本缩进 Char"/>
    <w:basedOn w:val="46"/>
    <w:qFormat/>
    <w:uiPriority w:val="0"/>
    <w:rPr>
      <w:rFonts w:ascii="Times New Roman" w:hAnsi="Times New Roman" w:eastAsia="宋体" w:cs="Times New Roman"/>
      <w:kern w:val="0"/>
      <w:sz w:val="20"/>
      <w:szCs w:val="24"/>
    </w:rPr>
  </w:style>
  <w:style w:type="character" w:customStyle="1" w:styleId="83">
    <w:name w:val="正文文本 2 Char"/>
    <w:basedOn w:val="46"/>
    <w:qFormat/>
    <w:uiPriority w:val="0"/>
    <w:rPr>
      <w:rFonts w:ascii="Times New Roman" w:hAnsi="Times New Roman" w:eastAsia="宋体" w:cs="Times New Roman"/>
      <w:kern w:val="0"/>
      <w:sz w:val="24"/>
      <w:szCs w:val="24"/>
    </w:rPr>
  </w:style>
  <w:style w:type="character" w:customStyle="1" w:styleId="84">
    <w:name w:val="标题 3 Char Char"/>
    <w:qFormat/>
    <w:uiPriority w:val="0"/>
    <w:rPr>
      <w:rFonts w:eastAsia="宋体"/>
      <w:b/>
      <w:bCs/>
      <w:kern w:val="2"/>
      <w:sz w:val="32"/>
      <w:szCs w:val="32"/>
      <w:lang w:val="en-US" w:eastAsia="zh-CN" w:bidi="ar-SA"/>
    </w:rPr>
  </w:style>
  <w:style w:type="character" w:customStyle="1" w:styleId="85">
    <w:name w:val="--规划正文 Char1"/>
    <w:qFormat/>
    <w:uiPriority w:val="0"/>
    <w:rPr>
      <w:rFonts w:eastAsia="宋体"/>
      <w:kern w:val="2"/>
      <w:sz w:val="21"/>
      <w:lang w:val="en-US" w:eastAsia="zh-CN" w:bidi="ar-SA"/>
    </w:rPr>
  </w:style>
  <w:style w:type="character" w:customStyle="1" w:styleId="86">
    <w:name w:val="正文首行缩进 Char"/>
    <w:basedOn w:val="74"/>
    <w:qFormat/>
    <w:uiPriority w:val="0"/>
    <w:rPr>
      <w:rFonts w:ascii="Times New Roman" w:hAnsi="Times New Roman" w:eastAsia="宋体" w:cs="Times New Roman"/>
      <w:b/>
      <w:bCs/>
      <w:kern w:val="0"/>
      <w:sz w:val="20"/>
      <w:szCs w:val="24"/>
      <w:lang w:val="en-US" w:eastAsia="zh-CN"/>
    </w:rPr>
  </w:style>
  <w:style w:type="character" w:customStyle="1" w:styleId="87">
    <w:name w:val="z-窗体底端 Char"/>
    <w:basedOn w:val="46"/>
    <w:qFormat/>
    <w:uiPriority w:val="0"/>
    <w:rPr>
      <w:rFonts w:ascii="Arial" w:hAnsi="Arial" w:eastAsia="宋体" w:cs="Times New Roman"/>
      <w:vanish/>
      <w:kern w:val="0"/>
      <w:sz w:val="16"/>
      <w:szCs w:val="16"/>
      <w:lang w:val="en-US" w:eastAsia="zh-CN"/>
    </w:rPr>
  </w:style>
  <w:style w:type="paragraph" w:customStyle="1" w:styleId="88">
    <w:name w:val="z-窗体底端1"/>
    <w:basedOn w:val="1"/>
    <w:next w:val="1"/>
    <w:link w:val="201"/>
    <w:qFormat/>
    <w:uiPriority w:val="0"/>
    <w:pPr>
      <w:widowControl/>
      <w:pBdr>
        <w:top w:val="single" w:color="auto" w:sz="6" w:space="1"/>
      </w:pBdr>
      <w:jc w:val="center"/>
    </w:pPr>
    <w:rPr>
      <w:rFonts w:ascii="Arial" w:hAnsi="Arial"/>
      <w:vanish/>
      <w:kern w:val="0"/>
      <w:sz w:val="16"/>
      <w:szCs w:val="16"/>
    </w:rPr>
  </w:style>
  <w:style w:type="character" w:customStyle="1" w:styleId="89">
    <w:name w:val="HTML 预设格式 Char"/>
    <w:basedOn w:val="46"/>
    <w:qFormat/>
    <w:uiPriority w:val="0"/>
    <w:rPr>
      <w:rFonts w:ascii="Arial Unicode MS" w:hAnsi="Arial Unicode MS" w:eastAsia="Arial Unicode MS" w:cs="Times New Roman"/>
      <w:color w:val="000000"/>
      <w:kern w:val="0"/>
      <w:sz w:val="20"/>
      <w:szCs w:val="20"/>
    </w:rPr>
  </w:style>
  <w:style w:type="character" w:customStyle="1" w:styleId="90">
    <w:name w:val="H4 Char2"/>
    <w:qFormat/>
    <w:uiPriority w:val="0"/>
    <w:rPr>
      <w:rFonts w:ascii="Arial" w:hAnsi="Arial" w:eastAsia="黑体"/>
      <w:b/>
      <w:bCs/>
      <w:kern w:val="2"/>
      <w:sz w:val="28"/>
      <w:szCs w:val="28"/>
      <w:lang w:val="en-US" w:eastAsia="zh-CN" w:bidi="ar-SA"/>
    </w:rPr>
  </w:style>
  <w:style w:type="character" w:customStyle="1" w:styleId="91">
    <w:name w:val="正文文本 Char1"/>
    <w:qFormat/>
    <w:uiPriority w:val="0"/>
    <w:rPr>
      <w:rFonts w:ascii="Times New Roman" w:hAnsi="Times New Roman" w:eastAsia="宋体" w:cs="Times New Roman"/>
      <w:b/>
      <w:bCs/>
      <w:kern w:val="0"/>
      <w:sz w:val="24"/>
      <w:szCs w:val="24"/>
    </w:rPr>
  </w:style>
  <w:style w:type="character" w:customStyle="1" w:styleId="92">
    <w:name w:val="body text Char1"/>
    <w:qFormat/>
    <w:uiPriority w:val="0"/>
    <w:rPr>
      <w:rFonts w:eastAsia="宋体"/>
      <w:kern w:val="2"/>
      <w:sz w:val="21"/>
      <w:lang w:val="en-US" w:eastAsia="zh-CN" w:bidi="ar-SA"/>
    </w:rPr>
  </w:style>
  <w:style w:type="character" w:customStyle="1" w:styleId="93">
    <w:name w:val="文档结构图 Char"/>
    <w:basedOn w:val="46"/>
    <w:semiHidden/>
    <w:qFormat/>
    <w:uiPriority w:val="0"/>
    <w:rPr>
      <w:rFonts w:ascii="Times New Roman" w:hAnsi="Times New Roman" w:eastAsia="宋体" w:cs="Times New Roman"/>
      <w:kern w:val="0"/>
      <w:sz w:val="20"/>
      <w:szCs w:val="24"/>
      <w:shd w:val="clear" w:color="auto" w:fill="000080"/>
    </w:rPr>
  </w:style>
  <w:style w:type="character" w:customStyle="1" w:styleId="94">
    <w:name w:val="正文文本 3 Char"/>
    <w:basedOn w:val="46"/>
    <w:qFormat/>
    <w:uiPriority w:val="0"/>
    <w:rPr>
      <w:rFonts w:ascii="Times New Roman" w:hAnsi="Times New Roman" w:eastAsia="宋体" w:cs="Times New Roman"/>
      <w:kern w:val="0"/>
      <w:sz w:val="16"/>
      <w:szCs w:val="16"/>
    </w:rPr>
  </w:style>
  <w:style w:type="character" w:customStyle="1" w:styleId="95">
    <w:name w:val="blue"/>
    <w:basedOn w:val="46"/>
    <w:qFormat/>
    <w:uiPriority w:val="0"/>
  </w:style>
  <w:style w:type="character" w:customStyle="1" w:styleId="96">
    <w:name w:val="proddescription"/>
    <w:basedOn w:val="46"/>
    <w:qFormat/>
    <w:uiPriority w:val="0"/>
  </w:style>
  <w:style w:type="character" w:customStyle="1" w:styleId="97">
    <w:name w:val="缩进正文 Char"/>
    <w:link w:val="98"/>
    <w:qFormat/>
    <w:uiPriority w:val="0"/>
    <w:rPr>
      <w:rFonts w:ascii="Times New Roman" w:hAnsi="Times New Roman" w:eastAsia="仿宋_GB2312" w:cs="Times New Roman"/>
      <w:kern w:val="0"/>
      <w:sz w:val="28"/>
      <w:szCs w:val="20"/>
    </w:rPr>
  </w:style>
  <w:style w:type="paragraph" w:customStyle="1" w:styleId="98">
    <w:name w:val="缩进正文"/>
    <w:basedOn w:val="1"/>
    <w:link w:val="97"/>
    <w:qFormat/>
    <w:uiPriority w:val="0"/>
    <w:pPr>
      <w:ind w:firstLine="560" w:firstLineChars="200"/>
    </w:pPr>
    <w:rPr>
      <w:rFonts w:ascii="Times New Roman" w:hAnsi="Times New Roman" w:eastAsia="仿宋_GB2312"/>
      <w:kern w:val="0"/>
      <w:sz w:val="28"/>
      <w:szCs w:val="20"/>
    </w:rPr>
  </w:style>
  <w:style w:type="character" w:customStyle="1" w:styleId="99">
    <w:name w:val="style9"/>
    <w:basedOn w:val="46"/>
    <w:qFormat/>
    <w:uiPriority w:val="0"/>
  </w:style>
  <w:style w:type="character" w:customStyle="1" w:styleId="100">
    <w:name w:val="prodheadlines"/>
    <w:basedOn w:val="46"/>
    <w:qFormat/>
    <w:uiPriority w:val="0"/>
  </w:style>
  <w:style w:type="character" w:customStyle="1" w:styleId="101">
    <w:name w:val="content1"/>
    <w:qFormat/>
    <w:uiPriority w:val="0"/>
    <w:rPr>
      <w:rFonts w:hint="default" w:ascii="??" w:hAnsi="??"/>
      <w:sz w:val="16"/>
      <w:szCs w:val="16"/>
      <w:u w:val="none"/>
    </w:rPr>
  </w:style>
  <w:style w:type="character" w:customStyle="1" w:styleId="102">
    <w:name w:val="正文文本缩进 3 Char"/>
    <w:basedOn w:val="46"/>
    <w:qFormat/>
    <w:uiPriority w:val="0"/>
    <w:rPr>
      <w:rFonts w:ascii="宋体" w:hAnsi="Times New Roman" w:eastAsia="宋体" w:cs="Times New Roman"/>
      <w:b/>
      <w:bCs/>
      <w:kern w:val="0"/>
      <w:sz w:val="24"/>
      <w:szCs w:val="24"/>
    </w:rPr>
  </w:style>
  <w:style w:type="character" w:customStyle="1" w:styleId="103">
    <w:name w:val="章标题1 Char"/>
    <w:qFormat/>
    <w:uiPriority w:val="0"/>
    <w:rPr>
      <w:rFonts w:eastAsia="宋体"/>
      <w:b/>
      <w:bCs/>
      <w:kern w:val="2"/>
      <w:sz w:val="32"/>
      <w:szCs w:val="32"/>
      <w:lang w:val="en-US" w:eastAsia="zh-CN" w:bidi="ar-SA"/>
    </w:rPr>
  </w:style>
  <w:style w:type="character" w:customStyle="1" w:styleId="104">
    <w:name w:val="font41"/>
    <w:qFormat/>
    <w:uiPriority w:val="0"/>
    <w:rPr>
      <w:color w:val="000000"/>
      <w:spacing w:val="260"/>
      <w:sz w:val="18"/>
      <w:szCs w:val="18"/>
      <w:u w:val="none"/>
    </w:rPr>
  </w:style>
  <w:style w:type="character" w:customStyle="1" w:styleId="105">
    <w:name w:val="alt-edited1"/>
    <w:qFormat/>
    <w:uiPriority w:val="0"/>
    <w:rPr>
      <w:color w:val="4D90F0"/>
    </w:rPr>
  </w:style>
  <w:style w:type="character" w:customStyle="1" w:styleId="106">
    <w:name w:val="info4"/>
    <w:basedOn w:val="46"/>
    <w:qFormat/>
    <w:uiPriority w:val="0"/>
  </w:style>
  <w:style w:type="character" w:customStyle="1" w:styleId="107">
    <w:name w:val="第*章 Char"/>
    <w:qFormat/>
    <w:uiPriority w:val="0"/>
    <w:rPr>
      <w:rFonts w:ascii="Arial" w:hAnsi="Arial" w:eastAsia="黑体"/>
      <w:b/>
      <w:bCs/>
      <w:kern w:val="2"/>
      <w:sz w:val="32"/>
      <w:szCs w:val="32"/>
    </w:rPr>
  </w:style>
  <w:style w:type="character" w:customStyle="1" w:styleId="108">
    <w:name w:val="text"/>
    <w:basedOn w:val="46"/>
    <w:qFormat/>
    <w:uiPriority w:val="0"/>
  </w:style>
  <w:style w:type="character" w:customStyle="1" w:styleId="109">
    <w:name w:val="正文文本缩进 2 Char"/>
    <w:basedOn w:val="46"/>
    <w:qFormat/>
    <w:uiPriority w:val="0"/>
    <w:rPr>
      <w:rFonts w:ascii="宋体" w:hAnsi="宋体" w:eastAsia="宋体" w:cs="Times New Roman"/>
      <w:kern w:val="0"/>
      <w:sz w:val="20"/>
      <w:szCs w:val="24"/>
    </w:rPr>
  </w:style>
  <w:style w:type="character" w:customStyle="1" w:styleId="110">
    <w:name w:val="font11"/>
    <w:qFormat/>
    <w:uiPriority w:val="0"/>
    <w:rPr>
      <w:rFonts w:hint="default" w:ascii="ˎ̥" w:hAnsi="ˎ̥"/>
    </w:rPr>
  </w:style>
  <w:style w:type="character" w:customStyle="1" w:styleId="111">
    <w:name w:val="批注框文本 Char"/>
    <w:basedOn w:val="46"/>
    <w:qFormat/>
    <w:uiPriority w:val="99"/>
    <w:rPr>
      <w:rFonts w:ascii="Times New Roman" w:hAnsi="Times New Roman" w:eastAsia="宋体" w:cs="Times New Roman"/>
      <w:kern w:val="0"/>
      <w:sz w:val="18"/>
      <w:szCs w:val="18"/>
    </w:rPr>
  </w:style>
  <w:style w:type="character" w:customStyle="1" w:styleId="112">
    <w:name w:val="mode"/>
    <w:basedOn w:val="46"/>
    <w:qFormat/>
    <w:uiPriority w:val="0"/>
  </w:style>
  <w:style w:type="character" w:customStyle="1" w:styleId="113">
    <w:name w:val="正文文本 3 字符"/>
    <w:basedOn w:val="46"/>
    <w:link w:val="18"/>
    <w:semiHidden/>
    <w:qFormat/>
    <w:uiPriority w:val="99"/>
    <w:rPr>
      <w:rFonts w:ascii="Calibri" w:hAnsi="Calibri" w:eastAsia="宋体" w:cs="Times New Roman"/>
      <w:sz w:val="16"/>
      <w:szCs w:val="16"/>
    </w:rPr>
  </w:style>
  <w:style w:type="character" w:customStyle="1" w:styleId="114">
    <w:name w:val="纯文本 字符"/>
    <w:basedOn w:val="46"/>
    <w:link w:val="23"/>
    <w:semiHidden/>
    <w:qFormat/>
    <w:uiPriority w:val="99"/>
    <w:rPr>
      <w:rFonts w:ascii="宋体" w:hAnsi="Courier New" w:eastAsia="宋体" w:cs="Courier New"/>
      <w:szCs w:val="21"/>
    </w:rPr>
  </w:style>
  <w:style w:type="character" w:customStyle="1" w:styleId="115">
    <w:name w:val="文档结构图 字符"/>
    <w:basedOn w:val="46"/>
    <w:link w:val="16"/>
    <w:semiHidden/>
    <w:qFormat/>
    <w:uiPriority w:val="99"/>
    <w:rPr>
      <w:rFonts w:ascii="宋体" w:hAnsi="Calibri" w:eastAsia="宋体" w:cs="Times New Roman"/>
      <w:sz w:val="18"/>
      <w:szCs w:val="18"/>
    </w:rPr>
  </w:style>
  <w:style w:type="character" w:customStyle="1" w:styleId="116">
    <w:name w:val="日期 字符"/>
    <w:basedOn w:val="46"/>
    <w:link w:val="25"/>
    <w:semiHidden/>
    <w:qFormat/>
    <w:uiPriority w:val="99"/>
    <w:rPr>
      <w:rFonts w:ascii="Calibri" w:hAnsi="Calibri" w:eastAsia="宋体" w:cs="Times New Roman"/>
    </w:rPr>
  </w:style>
  <w:style w:type="character" w:customStyle="1" w:styleId="117">
    <w:name w:val="正文文本 字符"/>
    <w:basedOn w:val="46"/>
    <w:link w:val="19"/>
    <w:semiHidden/>
    <w:qFormat/>
    <w:uiPriority w:val="99"/>
    <w:rPr>
      <w:rFonts w:ascii="Calibri" w:hAnsi="Calibri" w:eastAsia="宋体" w:cs="Times New Roman"/>
    </w:rPr>
  </w:style>
  <w:style w:type="character" w:customStyle="1" w:styleId="118">
    <w:name w:val="正文文本缩进 字符"/>
    <w:basedOn w:val="46"/>
    <w:link w:val="20"/>
    <w:semiHidden/>
    <w:qFormat/>
    <w:uiPriority w:val="99"/>
    <w:rPr>
      <w:rFonts w:ascii="Calibri" w:hAnsi="Calibri" w:eastAsia="宋体" w:cs="Times New Roman"/>
    </w:rPr>
  </w:style>
  <w:style w:type="character" w:customStyle="1" w:styleId="119">
    <w:name w:val="批注文字 字符"/>
    <w:basedOn w:val="46"/>
    <w:link w:val="17"/>
    <w:qFormat/>
    <w:uiPriority w:val="0"/>
    <w:rPr>
      <w:rFonts w:ascii="Calibri" w:hAnsi="Calibri" w:eastAsia="宋体" w:cs="Times New Roman"/>
    </w:rPr>
  </w:style>
  <w:style w:type="character" w:customStyle="1" w:styleId="120">
    <w:name w:val="HTML 预设格式 字符"/>
    <w:basedOn w:val="46"/>
    <w:link w:val="37"/>
    <w:semiHidden/>
    <w:qFormat/>
    <w:uiPriority w:val="99"/>
    <w:rPr>
      <w:rFonts w:ascii="Courier New" w:hAnsi="Courier New" w:eastAsia="宋体" w:cs="Courier New"/>
      <w:sz w:val="20"/>
      <w:szCs w:val="20"/>
    </w:rPr>
  </w:style>
  <w:style w:type="character" w:customStyle="1" w:styleId="121">
    <w:name w:val="正文文本缩进 2 字符"/>
    <w:basedOn w:val="46"/>
    <w:link w:val="26"/>
    <w:semiHidden/>
    <w:qFormat/>
    <w:uiPriority w:val="99"/>
    <w:rPr>
      <w:rFonts w:ascii="Calibri" w:hAnsi="Calibri" w:eastAsia="宋体" w:cs="Times New Roman"/>
    </w:rPr>
  </w:style>
  <w:style w:type="character" w:customStyle="1" w:styleId="122">
    <w:name w:val="正文文本 2 字符"/>
    <w:basedOn w:val="46"/>
    <w:link w:val="36"/>
    <w:semiHidden/>
    <w:qFormat/>
    <w:uiPriority w:val="99"/>
    <w:rPr>
      <w:rFonts w:ascii="Calibri" w:hAnsi="Calibri" w:eastAsia="宋体" w:cs="Times New Roman"/>
    </w:rPr>
  </w:style>
  <w:style w:type="character" w:customStyle="1" w:styleId="123">
    <w:name w:val="批注框文本 字符"/>
    <w:basedOn w:val="46"/>
    <w:link w:val="27"/>
    <w:semiHidden/>
    <w:qFormat/>
    <w:uiPriority w:val="99"/>
    <w:rPr>
      <w:rFonts w:ascii="Calibri" w:hAnsi="Calibri" w:eastAsia="宋体" w:cs="Times New Roman"/>
      <w:sz w:val="18"/>
      <w:szCs w:val="18"/>
    </w:rPr>
  </w:style>
  <w:style w:type="character" w:customStyle="1" w:styleId="124">
    <w:name w:val="正文文本缩进 3 字符"/>
    <w:basedOn w:val="46"/>
    <w:link w:val="33"/>
    <w:semiHidden/>
    <w:qFormat/>
    <w:uiPriority w:val="99"/>
    <w:rPr>
      <w:rFonts w:ascii="Calibri" w:hAnsi="Calibri" w:eastAsia="宋体" w:cs="Times New Roman"/>
      <w:sz w:val="16"/>
      <w:szCs w:val="16"/>
    </w:rPr>
  </w:style>
  <w:style w:type="character" w:customStyle="1" w:styleId="125">
    <w:name w:val="标题 字符"/>
    <w:basedOn w:val="46"/>
    <w:link w:val="40"/>
    <w:qFormat/>
    <w:uiPriority w:val="10"/>
    <w:rPr>
      <w:rFonts w:eastAsia="宋体" w:asciiTheme="majorHAnsi" w:hAnsiTheme="majorHAnsi" w:cstheme="majorBidi"/>
      <w:b/>
      <w:bCs/>
      <w:sz w:val="32"/>
      <w:szCs w:val="32"/>
    </w:rPr>
  </w:style>
  <w:style w:type="character" w:customStyle="1" w:styleId="126">
    <w:name w:val="批注主题 字符"/>
    <w:basedOn w:val="119"/>
    <w:link w:val="41"/>
    <w:semiHidden/>
    <w:qFormat/>
    <w:uiPriority w:val="99"/>
    <w:rPr>
      <w:rFonts w:ascii="Calibri" w:hAnsi="Calibri" w:eastAsia="宋体" w:cs="Times New Roman"/>
      <w:b/>
      <w:bCs/>
    </w:rPr>
  </w:style>
  <w:style w:type="character" w:customStyle="1" w:styleId="127">
    <w:name w:val="正文首行缩进 字符"/>
    <w:basedOn w:val="117"/>
    <w:link w:val="42"/>
    <w:semiHidden/>
    <w:qFormat/>
    <w:uiPriority w:val="99"/>
    <w:rPr>
      <w:rFonts w:ascii="Calibri" w:hAnsi="Calibri" w:eastAsia="宋体" w:cs="Times New Roman"/>
    </w:rPr>
  </w:style>
  <w:style w:type="paragraph" w:customStyle="1" w:styleId="12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29">
    <w:name w:val="编号1"/>
    <w:basedOn w:val="1"/>
    <w:qFormat/>
    <w:uiPriority w:val="0"/>
    <w:pPr>
      <w:tabs>
        <w:tab w:val="left" w:pos="360"/>
      </w:tabs>
      <w:adjustRightInd w:val="0"/>
      <w:spacing w:line="300" w:lineRule="auto"/>
      <w:ind w:left="360" w:right="210" w:hanging="360"/>
      <w:textAlignment w:val="center"/>
    </w:pPr>
    <w:rPr>
      <w:rFonts w:ascii="宋体" w:hAnsi="宋体"/>
      <w:snapToGrid w:val="0"/>
      <w:spacing w:val="10"/>
      <w:kern w:val="24"/>
      <w:szCs w:val="24"/>
    </w:rPr>
  </w:style>
  <w:style w:type="paragraph" w:customStyle="1" w:styleId="130">
    <w:name w:val="--规划正文"/>
    <w:basedOn w:val="1"/>
    <w:qFormat/>
    <w:uiPriority w:val="0"/>
    <w:pPr>
      <w:spacing w:line="360" w:lineRule="auto"/>
      <w:ind w:firstLine="200" w:firstLineChars="200"/>
    </w:pPr>
    <w:rPr>
      <w:rFonts w:ascii="Times New Roman" w:hAnsi="Times New Roman"/>
      <w:szCs w:val="20"/>
    </w:rPr>
  </w:style>
  <w:style w:type="paragraph" w:customStyle="1" w:styleId="13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35">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6">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37">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9">
    <w:name w:val="样式 标题 2 + 段前: 13 磅 段后: 13 磅 行距: 单倍行距"/>
    <w:basedOn w:val="4"/>
    <w:qFormat/>
    <w:uiPriority w:val="0"/>
    <w:pPr>
      <w:adjustRightInd/>
      <w:spacing w:before="0" w:after="0"/>
      <w:jc w:val="both"/>
      <w:textAlignment w:val="auto"/>
    </w:pPr>
    <w:rPr>
      <w:rFonts w:ascii="Cambria" w:hAnsi="Cambria" w:cs="宋体"/>
      <w:sz w:val="32"/>
    </w:rPr>
  </w:style>
  <w:style w:type="paragraph" w:customStyle="1" w:styleId="140">
    <w:name w:val="RFI text from 3rd Level"/>
    <w:basedOn w:val="1"/>
    <w:qFormat/>
    <w:uiPriority w:val="0"/>
    <w:pPr>
      <w:widowControl/>
      <w:tabs>
        <w:tab w:val="left" w:pos="1080"/>
      </w:tabs>
      <w:spacing w:beforeLines="50" w:line="360" w:lineRule="auto"/>
    </w:pPr>
    <w:rPr>
      <w:rFonts w:ascii="Arial (W1)" w:hAnsi="Arial (W1)"/>
      <w:bCs/>
      <w:kern w:val="0"/>
      <w:sz w:val="24"/>
      <w:szCs w:val="24"/>
      <w:lang w:val="en-GB"/>
    </w:rPr>
  </w:style>
  <w:style w:type="paragraph" w:customStyle="1" w:styleId="141">
    <w:name w:val="列出段落1"/>
    <w:basedOn w:val="1"/>
    <w:link w:val="215"/>
    <w:qFormat/>
    <w:uiPriority w:val="0"/>
    <w:pPr>
      <w:ind w:firstLine="420" w:firstLineChars="200"/>
    </w:pPr>
    <w:rPr>
      <w:rFonts w:cs="Calibri"/>
      <w:szCs w:val="21"/>
    </w:rPr>
  </w:style>
  <w:style w:type="paragraph" w:customStyle="1" w:styleId="142">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43">
    <w:name w:val="_Style 28"/>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设计依据"/>
    <w:basedOn w:val="19"/>
    <w:qFormat/>
    <w:uiPriority w:val="0"/>
    <w:pPr>
      <w:tabs>
        <w:tab w:val="left" w:pos="1440"/>
      </w:tabs>
      <w:adjustRightInd w:val="0"/>
      <w:ind w:left="1440" w:hanging="420"/>
      <w:textAlignment w:val="baseline"/>
    </w:pPr>
    <w:rPr>
      <w:rFonts w:ascii="宋体" w:hAnsi="宋体"/>
      <w:b w:val="0"/>
      <w:sz w:val="28"/>
      <w:szCs w:val="18"/>
    </w:rPr>
  </w:style>
  <w:style w:type="paragraph" w:styleId="145">
    <w:name w:val="List Paragraph"/>
    <w:basedOn w:val="1"/>
    <w:qFormat/>
    <w:uiPriority w:val="34"/>
    <w:pPr>
      <w:ind w:firstLine="420" w:firstLineChars="200"/>
    </w:pPr>
  </w:style>
  <w:style w:type="paragraph" w:customStyle="1" w:styleId="14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规划-小标题"/>
    <w:basedOn w:val="1"/>
    <w:next w:val="130"/>
    <w:qFormat/>
    <w:uiPriority w:val="0"/>
    <w:pPr>
      <w:keepNext/>
      <w:keepLines/>
      <w:spacing w:line="360" w:lineRule="auto"/>
      <w:outlineLvl w:val="4"/>
    </w:pPr>
    <w:rPr>
      <w:rFonts w:ascii="Times New Roman" w:hAnsi="Times New Roman" w:eastAsia="黑体"/>
      <w:szCs w:val="24"/>
    </w:rPr>
  </w:style>
  <w:style w:type="paragraph" w:customStyle="1" w:styleId="148">
    <w:name w:val="自定义正文"/>
    <w:basedOn w:val="1"/>
    <w:qFormat/>
    <w:uiPriority w:val="0"/>
    <w:pPr>
      <w:spacing w:afterLines="50"/>
      <w:ind w:left="600" w:leftChars="600"/>
    </w:pPr>
    <w:rPr>
      <w:rFonts w:ascii="Times New Roman" w:hAnsi="Times New Roman"/>
      <w:szCs w:val="24"/>
    </w:rPr>
  </w:style>
  <w:style w:type="paragraph" w:customStyle="1" w:styleId="149">
    <w:name w:val="段落正文"/>
    <w:basedOn w:val="23"/>
    <w:qFormat/>
    <w:uiPriority w:val="0"/>
    <w:pPr>
      <w:ind w:firstLine="560" w:firstLineChars="200"/>
    </w:pPr>
    <w:rPr>
      <w:sz w:val="28"/>
    </w:rPr>
  </w:style>
  <w:style w:type="paragraph" w:customStyle="1" w:styleId="150">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51">
    <w:name w:val="--规划-表格-居中"/>
    <w:basedOn w:val="130"/>
    <w:qFormat/>
    <w:uiPriority w:val="0"/>
    <w:pPr>
      <w:spacing w:line="240" w:lineRule="auto"/>
      <w:ind w:firstLine="0" w:firstLineChars="0"/>
      <w:jc w:val="center"/>
    </w:pPr>
    <w:rPr>
      <w:sz w:val="20"/>
    </w:rPr>
  </w:style>
  <w:style w:type="paragraph" w:customStyle="1" w:styleId="15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3">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54">
    <w:name w:val="正文文字缩进项目"/>
    <w:basedOn w:val="20"/>
    <w:qFormat/>
    <w:uiPriority w:val="0"/>
    <w:pPr>
      <w:tabs>
        <w:tab w:val="left" w:pos="840"/>
      </w:tabs>
      <w:spacing w:after="120" w:line="240" w:lineRule="auto"/>
      <w:ind w:left="840" w:firstLine="0" w:firstLineChars="0"/>
    </w:pPr>
    <w:rPr>
      <w:rFonts w:ascii="Tahoma" w:hAnsi="Tahoma"/>
      <w:sz w:val="22"/>
      <w:szCs w:val="20"/>
    </w:rPr>
  </w:style>
  <w:style w:type="paragraph" w:customStyle="1" w:styleId="155">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156">
    <w:name w:val="样式2"/>
    <w:basedOn w:val="40"/>
    <w:next w:val="157"/>
    <w:qFormat/>
    <w:uiPriority w:val="0"/>
    <w:pPr>
      <w:spacing w:before="120" w:after="120"/>
    </w:pPr>
    <w:rPr>
      <w:rFonts w:eastAsia="黑体"/>
      <w:b w:val="0"/>
      <w:sz w:val="30"/>
      <w:szCs w:val="30"/>
    </w:rPr>
  </w:style>
  <w:style w:type="paragraph" w:customStyle="1" w:styleId="157">
    <w:name w:val="样式1"/>
    <w:basedOn w:val="40"/>
    <w:qFormat/>
    <w:uiPriority w:val="0"/>
    <w:pPr>
      <w:spacing w:before="120" w:after="120"/>
    </w:pPr>
    <w:rPr>
      <w:rFonts w:eastAsia="黑体"/>
      <w:b w:val="0"/>
      <w:sz w:val="30"/>
      <w:szCs w:val="21"/>
    </w:rPr>
  </w:style>
  <w:style w:type="paragraph" w:customStyle="1" w:styleId="158">
    <w:name w:val="样式41"/>
    <w:basedOn w:val="1"/>
    <w:qFormat/>
    <w:uiPriority w:val="0"/>
    <w:pPr>
      <w:tabs>
        <w:tab w:val="left" w:pos="945"/>
        <w:tab w:val="left" w:pos="2040"/>
      </w:tabs>
      <w:spacing w:line="360" w:lineRule="auto"/>
      <w:ind w:left="2040" w:hanging="360"/>
    </w:pPr>
    <w:rPr>
      <w:rFonts w:ascii="Times New Roman" w:hAnsi="Times New Roman"/>
      <w:b/>
      <w:color w:val="000000"/>
      <w:sz w:val="24"/>
      <w:szCs w:val="20"/>
    </w:rPr>
  </w:style>
  <w:style w:type="paragraph" w:customStyle="1" w:styleId="159">
    <w:name w:val="Char Char"/>
    <w:basedOn w:val="1"/>
    <w:qFormat/>
    <w:uiPriority w:val="0"/>
    <w:rPr>
      <w:rFonts w:ascii="Tahoma" w:hAnsi="Tahoma"/>
      <w:sz w:val="24"/>
      <w:szCs w:val="20"/>
    </w:rPr>
  </w:style>
  <w:style w:type="paragraph" w:customStyle="1" w:styleId="16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1">
    <w:name w:val="Char Char Char"/>
    <w:basedOn w:val="1"/>
    <w:qFormat/>
    <w:uiPriority w:val="0"/>
    <w:rPr>
      <w:rFonts w:ascii="Tahoma" w:hAnsi="Tahoma"/>
      <w:sz w:val="24"/>
      <w:szCs w:val="20"/>
    </w:rPr>
  </w:style>
  <w:style w:type="paragraph" w:customStyle="1" w:styleId="162">
    <w:name w:val="Char Char Char Char Char"/>
    <w:basedOn w:val="1"/>
    <w:qFormat/>
    <w:uiPriority w:val="0"/>
    <w:rPr>
      <w:rFonts w:ascii="Tahoma" w:hAnsi="Tahoma"/>
      <w:sz w:val="24"/>
      <w:szCs w:val="20"/>
    </w:rPr>
  </w:style>
  <w:style w:type="paragraph" w:customStyle="1" w:styleId="163">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164">
    <w:name w:val="USE 1"/>
    <w:basedOn w:val="1"/>
    <w:qFormat/>
    <w:uiPriority w:val="0"/>
    <w:pPr>
      <w:spacing w:line="200" w:lineRule="atLeast"/>
      <w:jc w:val="left"/>
    </w:pPr>
    <w:rPr>
      <w:rFonts w:ascii="宋体" w:hAnsi="宋体"/>
      <w:b/>
      <w:sz w:val="24"/>
      <w:szCs w:val="28"/>
    </w:rPr>
  </w:style>
  <w:style w:type="paragraph" w:customStyle="1" w:styleId="165">
    <w:name w:val="--编号内缩进"/>
    <w:basedOn w:val="1"/>
    <w:qFormat/>
    <w:uiPriority w:val="0"/>
    <w:pPr>
      <w:spacing w:line="360" w:lineRule="auto"/>
      <w:ind w:left="420" w:firstLine="200" w:firstLineChars="200"/>
    </w:pPr>
    <w:rPr>
      <w:rFonts w:ascii="Times New Roman" w:hAnsi="Times New Roman"/>
      <w:szCs w:val="21"/>
    </w:rPr>
  </w:style>
  <w:style w:type="paragraph" w:customStyle="1" w:styleId="166">
    <w:name w:val="图"/>
    <w:basedOn w:val="1"/>
    <w:qFormat/>
    <w:uiPriority w:val="99"/>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167">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68">
    <w:name w:val="6"/>
    <w:basedOn w:val="142"/>
    <w:qFormat/>
    <w:uiPriority w:val="0"/>
    <w:pPr>
      <w:spacing w:line="270" w:lineRule="atLeast"/>
      <w:jc w:val="both"/>
    </w:pPr>
    <w:rPr>
      <w:b w:val="0"/>
      <w:bCs w:val="0"/>
    </w:rPr>
  </w:style>
  <w:style w:type="paragraph" w:customStyle="1" w:styleId="1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71">
    <w:name w:val="--规划-表格-居左"/>
    <w:basedOn w:val="130"/>
    <w:qFormat/>
    <w:uiPriority w:val="0"/>
    <w:pPr>
      <w:spacing w:line="240" w:lineRule="auto"/>
      <w:ind w:firstLine="0" w:firstLineChars="0"/>
    </w:pPr>
    <w:rPr>
      <w:sz w:val="20"/>
    </w:rPr>
  </w:style>
  <w:style w:type="paragraph" w:customStyle="1" w:styleId="172">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3">
    <w:name w:val="方案要点"/>
    <w:basedOn w:val="1"/>
    <w:qFormat/>
    <w:uiPriority w:val="0"/>
    <w:pPr>
      <w:tabs>
        <w:tab w:val="left" w:pos="420"/>
      </w:tabs>
      <w:spacing w:line="360" w:lineRule="auto"/>
      <w:ind w:left="420" w:hanging="420"/>
    </w:pPr>
    <w:rPr>
      <w:rFonts w:ascii="仿宋_GB2312" w:hAnsi="宋体" w:eastAsia="仿宋_GB2312"/>
      <w:color w:val="000000"/>
      <w:sz w:val="28"/>
      <w:szCs w:val="28"/>
    </w:rPr>
  </w:style>
  <w:style w:type="paragraph" w:customStyle="1" w:styleId="174">
    <w:name w:val="--规划-图和表"/>
    <w:next w:val="130"/>
    <w:qFormat/>
    <w:uiPriority w:val="0"/>
    <w:pPr>
      <w:jc w:val="center"/>
    </w:pPr>
    <w:rPr>
      <w:rFonts w:ascii="Times New Roman" w:hAnsi="Times New Roman" w:eastAsia="宋体" w:cs="Times New Roman"/>
      <w:kern w:val="2"/>
      <w:sz w:val="21"/>
      <w:lang w:val="en-US" w:eastAsia="zh-CN" w:bidi="ar-SA"/>
    </w:rPr>
  </w:style>
  <w:style w:type="paragraph" w:customStyle="1" w:styleId="175">
    <w:name w:val="Char1"/>
    <w:basedOn w:val="1"/>
    <w:qFormat/>
    <w:uiPriority w:val="0"/>
    <w:pPr>
      <w:jc w:val="left"/>
    </w:pPr>
    <w:rPr>
      <w:rFonts w:ascii="Tahoma" w:hAnsi="Tahoma"/>
      <w:sz w:val="24"/>
      <w:szCs w:val="20"/>
    </w:rPr>
  </w:style>
  <w:style w:type="paragraph" w:customStyle="1" w:styleId="17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77">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78">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79">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181">
    <w:name w:val="z-窗体顶端 Char1"/>
    <w:basedOn w:val="46"/>
    <w:link w:val="71"/>
    <w:semiHidden/>
    <w:qFormat/>
    <w:uiPriority w:val="99"/>
    <w:rPr>
      <w:rFonts w:ascii="Arial" w:hAnsi="Arial" w:eastAsia="宋体" w:cs="Arial"/>
      <w:vanish/>
      <w:sz w:val="16"/>
      <w:szCs w:val="16"/>
    </w:rPr>
  </w:style>
  <w:style w:type="paragraph" w:customStyle="1" w:styleId="182">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8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8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86">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8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8">
    <w:name w:val="--规划-题注"/>
    <w:basedOn w:val="1"/>
    <w:next w:val="130"/>
    <w:qFormat/>
    <w:uiPriority w:val="0"/>
    <w:pPr>
      <w:spacing w:line="360" w:lineRule="auto"/>
      <w:jc w:val="center"/>
    </w:pPr>
    <w:rPr>
      <w:rFonts w:ascii="Times New Roman" w:hAnsi="Times New Roman" w:eastAsia="黑体"/>
      <w:szCs w:val="24"/>
    </w:rPr>
  </w:style>
  <w:style w:type="paragraph" w:customStyle="1" w:styleId="189">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90">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91">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92">
    <w:name w:val="样式3"/>
    <w:basedOn w:val="2"/>
    <w:qFormat/>
    <w:uiPriority w:val="0"/>
    <w:pPr>
      <w:tabs>
        <w:tab w:val="left" w:pos="420"/>
      </w:tabs>
      <w:spacing w:before="240" w:after="240" w:line="480" w:lineRule="auto"/>
      <w:ind w:left="420" w:right="210" w:rightChars="100" w:hanging="420"/>
      <w:jc w:val="left"/>
    </w:pPr>
    <w:rPr>
      <w:rFonts w:ascii="Times New Roman" w:hAnsi="Times New Roman"/>
      <w:sz w:val="32"/>
    </w:rPr>
  </w:style>
  <w:style w:type="paragraph" w:customStyle="1" w:styleId="19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4">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95">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9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9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98">
    <w:name w:val="8"/>
    <w:basedOn w:val="1"/>
    <w:next w:val="20"/>
    <w:qFormat/>
    <w:uiPriority w:val="0"/>
    <w:pPr>
      <w:spacing w:after="120"/>
      <w:ind w:left="420" w:leftChars="200"/>
    </w:pPr>
    <w:rPr>
      <w:rFonts w:ascii="Times New Roman" w:hAnsi="Times New Roman"/>
      <w:szCs w:val="24"/>
    </w:rPr>
  </w:style>
  <w:style w:type="paragraph" w:customStyle="1" w:styleId="199">
    <w:name w:val="姜文清定义的正文"/>
    <w:basedOn w:val="1"/>
    <w:qFormat/>
    <w:uiPriority w:val="0"/>
    <w:pPr>
      <w:spacing w:line="240" w:lineRule="atLeast"/>
      <w:ind w:firstLine="567"/>
    </w:pPr>
    <w:rPr>
      <w:rFonts w:ascii="Times New Roman" w:hAnsi="Times New Roman"/>
      <w:szCs w:val="20"/>
    </w:rPr>
  </w:style>
  <w:style w:type="paragraph" w:customStyle="1" w:styleId="200">
    <w:name w:val="CM2"/>
    <w:basedOn w:val="180"/>
    <w:next w:val="180"/>
    <w:qFormat/>
    <w:uiPriority w:val="0"/>
    <w:pPr>
      <w:spacing w:line="200" w:lineRule="atLeast"/>
    </w:pPr>
    <w:rPr>
      <w:rFonts w:ascii="Arial" w:hAnsi="Arial" w:eastAsia="宋体" w:cs="Times New Roman"/>
      <w:color w:val="auto"/>
    </w:rPr>
  </w:style>
  <w:style w:type="character" w:customStyle="1" w:styleId="201">
    <w:name w:val="z-窗体底端 Char1"/>
    <w:basedOn w:val="46"/>
    <w:link w:val="88"/>
    <w:semiHidden/>
    <w:qFormat/>
    <w:uiPriority w:val="99"/>
    <w:rPr>
      <w:rFonts w:ascii="Arial" w:hAnsi="Arial" w:eastAsia="宋体" w:cs="Arial"/>
      <w:vanish/>
      <w:sz w:val="16"/>
      <w:szCs w:val="16"/>
    </w:rPr>
  </w:style>
  <w:style w:type="paragraph" w:customStyle="1" w:styleId="202">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0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20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5">
    <w:name w:val="表格字"/>
    <w:basedOn w:val="1"/>
    <w:qFormat/>
    <w:uiPriority w:val="0"/>
    <w:pPr>
      <w:adjustRightInd w:val="0"/>
      <w:jc w:val="center"/>
    </w:pPr>
    <w:rPr>
      <w:rFonts w:ascii="宋体" w:hAnsi="Times New Roman"/>
      <w:sz w:val="24"/>
      <w:szCs w:val="20"/>
    </w:rPr>
  </w:style>
  <w:style w:type="paragraph" w:customStyle="1" w:styleId="20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7">
    <w:name w:val="评价"/>
    <w:basedOn w:val="1"/>
    <w:qFormat/>
    <w:uiPriority w:val="0"/>
    <w:pPr>
      <w:spacing w:afterLines="20"/>
      <w:ind w:firstLine="1446" w:firstLineChars="200"/>
    </w:pPr>
    <w:rPr>
      <w:sz w:val="24"/>
      <w:szCs w:val="24"/>
    </w:rPr>
  </w:style>
  <w:style w:type="paragraph" w:customStyle="1" w:styleId="20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09">
    <w:name w:val="正文(缩进) 五号"/>
    <w:basedOn w:val="1"/>
    <w:qFormat/>
    <w:uiPriority w:val="0"/>
    <w:pPr>
      <w:widowControl/>
      <w:spacing w:after="120" w:line="360" w:lineRule="auto"/>
      <w:ind w:firstLine="420" w:firstLineChars="200"/>
      <w:jc w:val="left"/>
    </w:pPr>
    <w:rPr>
      <w:rFonts w:ascii="Arial" w:hAnsi="Arial" w:cs="宋体"/>
      <w:kern w:val="0"/>
      <w:szCs w:val="20"/>
    </w:rPr>
  </w:style>
  <w:style w:type="paragraph" w:customStyle="1" w:styleId="210">
    <w:name w:val="封面标题"/>
    <w:basedOn w:val="1"/>
    <w:qFormat/>
    <w:uiPriority w:val="0"/>
    <w:pPr>
      <w:spacing w:line="360" w:lineRule="auto"/>
      <w:jc w:val="center"/>
    </w:pPr>
    <w:rPr>
      <w:rFonts w:ascii="Times New Roman" w:hAnsi="Times New Roman" w:eastAsia="黑体"/>
      <w:sz w:val="48"/>
      <w:szCs w:val="20"/>
    </w:rPr>
  </w:style>
  <w:style w:type="paragraph" w:customStyle="1" w:styleId="211">
    <w:name w:val="列出段落2"/>
    <w:basedOn w:val="1"/>
    <w:qFormat/>
    <w:uiPriority w:val="0"/>
    <w:pPr>
      <w:ind w:firstLine="420" w:firstLineChars="200"/>
    </w:pPr>
    <w:rPr>
      <w:szCs w:val="20"/>
    </w:rPr>
  </w:style>
  <w:style w:type="paragraph" w:styleId="21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3">
    <w:name w:val="font31"/>
    <w:basedOn w:val="46"/>
    <w:qFormat/>
    <w:uiPriority w:val="0"/>
    <w:rPr>
      <w:rFonts w:hint="default" w:ascii="Times New Roman" w:hAnsi="Times New Roman" w:cs="Times New Roman"/>
      <w:color w:val="000000"/>
      <w:sz w:val="21"/>
      <w:szCs w:val="21"/>
      <w:u w:val="none"/>
    </w:rPr>
  </w:style>
  <w:style w:type="character" w:customStyle="1" w:styleId="214">
    <w:name w:val="正文缩进 Char1"/>
    <w:qFormat/>
    <w:uiPriority w:val="0"/>
    <w:rPr>
      <w:rFonts w:eastAsia="宋体"/>
      <w:kern w:val="2"/>
      <w:sz w:val="21"/>
      <w:lang w:val="en-US" w:eastAsia="zh-CN" w:bidi="ar-SA"/>
    </w:rPr>
  </w:style>
  <w:style w:type="character" w:customStyle="1" w:styleId="215">
    <w:name w:val="列表段落 字符"/>
    <w:link w:val="141"/>
    <w:qFormat/>
    <w:uiPriority w:val="0"/>
    <w:rPr>
      <w:rFonts w:ascii="Calibri" w:hAnsi="Calibri" w:eastAsia="宋体" w:cs="Calibri"/>
      <w:szCs w:val="21"/>
    </w:rPr>
  </w:style>
  <w:style w:type="paragraph" w:customStyle="1" w:styleId="216">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217">
    <w:name w:val=".正文"/>
    <w:basedOn w:val="1"/>
    <w:qFormat/>
    <w:uiPriority w:val="0"/>
    <w:pPr>
      <w:spacing w:beforeLines="50"/>
      <w:ind w:firstLine="200" w:firstLineChars="200"/>
    </w:pPr>
    <w:rPr>
      <w:rFonts w:eastAsia="华文仿宋"/>
    </w:rPr>
  </w:style>
  <w:style w:type="paragraph" w:customStyle="1" w:styleId="218">
    <w:name w:val="Other|1"/>
    <w:basedOn w:val="1"/>
    <w:qFormat/>
    <w:uiPriority w:val="0"/>
    <w:pPr>
      <w:spacing w:line="403" w:lineRule="auto"/>
      <w:ind w:firstLine="400"/>
    </w:pPr>
    <w:rPr>
      <w:rFonts w:ascii="宋体" w:hAnsi="宋体" w:cs="宋体"/>
      <w:sz w:val="26"/>
      <w:szCs w:val="26"/>
      <w:lang w:val="zh-TW" w:eastAsia="zh-TW" w:bidi="zh-TW"/>
    </w:rPr>
  </w:style>
  <w:style w:type="character" w:customStyle="1" w:styleId="219">
    <w:name w:val="正文首行缩进 2 字符"/>
    <w:link w:val="43"/>
    <w:qFormat/>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108</Pages>
  <Words>2373</Words>
  <Characters>2434</Characters>
  <Lines>626</Lines>
  <Paragraphs>176</Paragraphs>
  <TotalTime>0</TotalTime>
  <ScaleCrop>false</ScaleCrop>
  <LinksUpToDate>false</LinksUpToDate>
  <CharactersWithSpaces>2461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2020-09-24T06:11:00Z</dcterms:created>
  <dc:creator>Administrator</dc:creator>
  <cp:lastModifiedBy>中正招标--李工</cp:lastModifiedBy>
  <cp:lastPrinted>2019-10-21T08:50:00Z</cp:lastPrinted>
  <dcterms:modified xsi:type="dcterms:W3CDTF">2025-01-17T09:09:19Z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090D915694DC46A1BACCEF9B02201B80_13</vt:lpwstr>
  </property>
  <property fmtid="{D5CDD505-2E9C-101B-9397-08002B2CF9AE}" pid="3" name="KSOProductBuildVer">
    <vt:lpwstr>2052-12.1.0.19770</vt:lpwstr>
  </property>
  <property fmtid="{D5CDD505-2E9C-101B-9397-08002B2CF9AE}" pid="4" name="KSOTemplateDocerSaveRecord">
    <vt:lpwstr>eyJoZGlkIjoiMzNiN2JjZGQwODQzNTVmMDg4ZGNmNzRhYmJlZDY2YTUiLCJ1c2VySWQiOiI0NjMwNjU1NzcifQ==</vt:lpwstr>
  </property>
</Properties>
</file>